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BF1" w:rsidRDefault="00FA0BF1" w:rsidP="00230A10">
      <w:pPr>
        <w:spacing w:before="100" w:beforeAutospacing="1" w:after="100" w:afterAutospacing="1" w:line="360" w:lineRule="auto"/>
        <w:jc w:val="center"/>
        <w:outlineLvl w:val="0"/>
        <w:rPr>
          <w:rFonts w:ascii="Times New Roman" w:eastAsia="Times New Roman" w:hAnsi="Times New Roman" w:cs="Times New Roman"/>
          <w:b/>
          <w:bCs/>
          <w:kern w:val="36"/>
          <w:lang w:eastAsia="fr-FR"/>
        </w:rPr>
      </w:pPr>
      <w:r w:rsidRPr="00FA0BF1">
        <w:rPr>
          <w:rFonts w:ascii="Times New Roman" w:eastAsia="Times New Roman" w:hAnsi="Times New Roman" w:cs="Times New Roman"/>
          <w:b/>
          <w:bCs/>
          <w:noProof/>
          <w:kern w:val="36"/>
          <w:lang w:eastAsia="fr-FR"/>
        </w:rPr>
        <w:drawing>
          <wp:inline distT="0" distB="0" distL="0" distR="0">
            <wp:extent cx="5759450" cy="688264"/>
            <wp:effectExtent l="0" t="0" r="0"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9450" cy="688264"/>
                    </a:xfrm>
                    <a:prstGeom prst="rect">
                      <a:avLst/>
                    </a:prstGeom>
                    <a:noFill/>
                    <a:ln>
                      <a:noFill/>
                    </a:ln>
                  </pic:spPr>
                </pic:pic>
              </a:graphicData>
            </a:graphic>
          </wp:inline>
        </w:drawing>
      </w:r>
    </w:p>
    <w:p w:rsidR="00230A10" w:rsidRPr="00FA0BF1" w:rsidRDefault="008B5DDE" w:rsidP="00FA0BF1">
      <w:pPr>
        <w:spacing w:after="200" w:line="240" w:lineRule="auto"/>
        <w:jc w:val="center"/>
        <w:rPr>
          <w:rFonts w:ascii="Times New Roman" w:hAnsi="Times New Roman" w:cs="Times New Roman"/>
          <w:b/>
          <w:color w:val="0000FF"/>
          <w:kern w:val="0"/>
          <w:szCs w:val="22"/>
        </w:rPr>
      </w:pPr>
      <w:r>
        <w:rPr>
          <w:rFonts w:ascii="Times New Roman" w:hAnsi="Times New Roman" w:cs="Times New Roman"/>
          <w:b/>
          <w:color w:val="0000FF"/>
          <w:kern w:val="0"/>
          <w:szCs w:val="22"/>
        </w:rPr>
        <w:pict>
          <v:rect id="_x0000_s1026" style="position:absolute;left:0;text-align:left;margin-left:3.85pt;margin-top:-14.2pt;width:445.6pt;height:53.7pt;z-index:251658240" filled="f" strokecolor="blue" strokeweight="1.5pt"/>
        </w:pict>
      </w:r>
      <w:r w:rsidR="00230A10" w:rsidRPr="00FA0BF1">
        <w:rPr>
          <w:rFonts w:ascii="Times New Roman" w:hAnsi="Times New Roman" w:cs="Times New Roman"/>
          <w:b/>
          <w:color w:val="0000FF"/>
          <w:kern w:val="0"/>
          <w:szCs w:val="22"/>
        </w:rPr>
        <w:t>Aspects épidémiologiques et thérapeutiques des hématomes intracrâniens non traumatiques au service de neurochirurgie de Mahajanga, Madagascar.</w:t>
      </w:r>
    </w:p>
    <w:p w:rsidR="00FA0BF1" w:rsidRDefault="00FA0BF1" w:rsidP="00FA0BF1">
      <w:pPr>
        <w:spacing w:line="240" w:lineRule="auto"/>
        <w:jc w:val="center"/>
        <w:rPr>
          <w:rFonts w:ascii="Times New Roman" w:hAnsi="Times New Roman" w:cs="Times New Roman"/>
          <w:b/>
          <w:noProof/>
          <w:color w:val="0000FF"/>
        </w:rPr>
      </w:pPr>
    </w:p>
    <w:p w:rsidR="00FA0BF1" w:rsidRPr="00FA0BF1" w:rsidRDefault="00FA0BF1" w:rsidP="00FA0BF1">
      <w:pPr>
        <w:spacing w:line="240" w:lineRule="auto"/>
        <w:jc w:val="center"/>
        <w:rPr>
          <w:rFonts w:ascii="Times New Roman" w:hAnsi="Times New Roman" w:cs="Times New Roman"/>
          <w:b/>
          <w:noProof/>
          <w:color w:val="0000FF"/>
        </w:rPr>
      </w:pPr>
      <w:r w:rsidRPr="00FA0BF1">
        <w:rPr>
          <w:rFonts w:ascii="Times New Roman" w:hAnsi="Times New Roman" w:cs="Times New Roman"/>
          <w:b/>
          <w:noProof/>
          <w:color w:val="0000FF"/>
        </w:rPr>
        <w:t>Bemora JS,</w:t>
      </w:r>
      <w:r w:rsidR="00DA7E11">
        <w:rPr>
          <w:rFonts w:ascii="Times New Roman" w:hAnsi="Times New Roman" w:cs="Times New Roman"/>
          <w:b/>
          <w:noProof/>
          <w:color w:val="0000FF"/>
        </w:rPr>
        <w:t xml:space="preserve"> Rafidimalala RA,</w:t>
      </w:r>
      <w:r w:rsidRPr="00FA0BF1">
        <w:rPr>
          <w:rFonts w:ascii="Times New Roman" w:hAnsi="Times New Roman" w:cs="Times New Roman"/>
          <w:b/>
          <w:noProof/>
          <w:color w:val="0000FF"/>
        </w:rPr>
        <w:t xml:space="preserve"> Tsiaremby MG, Rakotondraibe WF, Ratovondrainy W, Rabarijaona M, Andriamamonjy C</w:t>
      </w:r>
    </w:p>
    <w:p w:rsidR="00FA0BF1" w:rsidRPr="00FA0BF1" w:rsidRDefault="008B5DDE" w:rsidP="00FA0BF1">
      <w:pPr>
        <w:spacing w:line="240" w:lineRule="auto"/>
        <w:jc w:val="both"/>
        <w:rPr>
          <w:rFonts w:ascii="Times New Roman" w:hAnsi="Times New Roman" w:cs="Times New Roman"/>
          <w:b/>
          <w:color w:val="0000FF"/>
        </w:rPr>
      </w:pPr>
      <w:r>
        <w:rPr>
          <w:rFonts w:ascii="Times New Roman" w:hAnsi="Times New Roman" w:cs="Times New Roman"/>
          <w:b/>
          <w:noProof/>
          <w:color w:val="0000FF"/>
        </w:rPr>
        <w:pict>
          <v:shapetype id="_x0000_t32" coordsize="21600,21600" o:spt="32" o:oned="t" path="m,l21600,21600e" filled="f">
            <v:path arrowok="t" fillok="f" o:connecttype="none"/>
            <o:lock v:ext="edit" shapetype="t"/>
          </v:shapetype>
          <v:shape id="_x0000_s1027" type="#_x0000_t32" style="position:absolute;left:0;text-align:left;margin-left:69.55pt;margin-top:8.4pt;width:387pt;height:0;z-index:251660288" o:connectortype="straight" strokecolor="blue" strokeweight="1.5pt"/>
        </w:pict>
      </w:r>
      <w:r w:rsidR="00FA0BF1" w:rsidRPr="007108E8">
        <w:rPr>
          <w:rFonts w:ascii="Times New Roman" w:hAnsi="Times New Roman" w:cs="Times New Roman"/>
          <w:b/>
          <w:color w:val="0000FF"/>
        </w:rPr>
        <w:t xml:space="preserve">Introduction </w:t>
      </w:r>
      <w:r w:rsidR="00B9732E" w:rsidRPr="00B9732E">
        <w:rPr>
          <w:rFonts w:ascii="Times New Roman" w:eastAsia="Times New Roman" w:hAnsi="Times New Roman" w:cs="Times New Roman"/>
          <w:b/>
          <w:bCs/>
          <w:kern w:val="0"/>
          <w:lang w:eastAsia="fr-FR"/>
        </w:rPr>
        <w:t xml:space="preserve"> </w:t>
      </w:r>
    </w:p>
    <w:p w:rsidR="00B9732E" w:rsidRPr="00B9732E" w:rsidRDefault="00B9732E" w:rsidP="00B9732E">
      <w:pPr>
        <w:spacing w:before="100" w:beforeAutospacing="1" w:after="100" w:afterAutospacing="1" w:line="360" w:lineRule="auto"/>
        <w:jc w:val="both"/>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 xml:space="preserve">Les hématomes intracrâniens non traumatiques (HINT) représentent une urgence neurochirurgicale majeure, incluant l’AVC hémorragique spontané, les anévrismes rompus, les malformations artérioveineuses et les fistules durales </w:t>
      </w:r>
      <w:r w:rsidR="000C2142">
        <w:rPr>
          <w:rFonts w:ascii="Times New Roman" w:eastAsia="Times New Roman" w:hAnsi="Times New Roman" w:cs="Times New Roman"/>
          <w:kern w:val="0"/>
          <w:lang w:eastAsia="fr-FR"/>
        </w:rPr>
        <w:t>(</w:t>
      </w:r>
      <w:r w:rsidRPr="00B9732E">
        <w:rPr>
          <w:rFonts w:ascii="Times New Roman" w:eastAsia="Times New Roman" w:hAnsi="Times New Roman" w:cs="Times New Roman"/>
          <w:kern w:val="0"/>
          <w:lang w:eastAsia="fr-FR"/>
        </w:rPr>
        <w:t>1,2</w:t>
      </w:r>
      <w:r w:rsidR="000C2142">
        <w:rPr>
          <w:rFonts w:ascii="Times New Roman" w:eastAsia="Times New Roman" w:hAnsi="Times New Roman" w:cs="Times New Roman"/>
          <w:kern w:val="0"/>
          <w:lang w:eastAsia="fr-FR"/>
        </w:rPr>
        <w:t>)</w:t>
      </w:r>
      <w:r w:rsidRPr="00B9732E">
        <w:rPr>
          <w:rFonts w:ascii="Times New Roman" w:eastAsia="Times New Roman" w:hAnsi="Times New Roman" w:cs="Times New Roman"/>
          <w:kern w:val="0"/>
          <w:lang w:eastAsia="fr-FR"/>
        </w:rPr>
        <w:t xml:space="preserve">. Leur incidence mondiale varie selon les populations et les facteurs de risque vasculaires, avec une mortalité élevée et un risque de séquelles neurologiques </w:t>
      </w:r>
      <w:r w:rsidR="000C2142">
        <w:rPr>
          <w:rFonts w:ascii="Times New Roman" w:eastAsia="Times New Roman" w:hAnsi="Times New Roman" w:cs="Times New Roman"/>
          <w:kern w:val="0"/>
          <w:lang w:eastAsia="fr-FR"/>
        </w:rPr>
        <w:t>(</w:t>
      </w:r>
      <w:r w:rsidRPr="00B9732E">
        <w:rPr>
          <w:rFonts w:ascii="Times New Roman" w:eastAsia="Times New Roman" w:hAnsi="Times New Roman" w:cs="Times New Roman"/>
          <w:kern w:val="0"/>
          <w:lang w:eastAsia="fr-FR"/>
        </w:rPr>
        <w:t>3,4</w:t>
      </w:r>
      <w:r w:rsidR="000C2142">
        <w:rPr>
          <w:rFonts w:ascii="Times New Roman" w:eastAsia="Times New Roman" w:hAnsi="Times New Roman" w:cs="Times New Roman"/>
          <w:kern w:val="0"/>
          <w:lang w:eastAsia="fr-FR"/>
        </w:rPr>
        <w:t>)</w:t>
      </w:r>
      <w:r w:rsidRPr="00B9732E">
        <w:rPr>
          <w:rFonts w:ascii="Times New Roman" w:eastAsia="Times New Roman" w:hAnsi="Times New Roman" w:cs="Times New Roman"/>
          <w:kern w:val="0"/>
          <w:lang w:eastAsia="fr-FR"/>
        </w:rPr>
        <w:t xml:space="preserve">. À Madagascar, peu de données locales sont disponibles, limitant la planification des ressources et la formation spécialisée </w:t>
      </w:r>
      <w:r w:rsidR="000C2142">
        <w:rPr>
          <w:rFonts w:ascii="Times New Roman" w:eastAsia="Times New Roman" w:hAnsi="Times New Roman" w:cs="Times New Roman"/>
          <w:kern w:val="0"/>
          <w:lang w:eastAsia="fr-FR"/>
        </w:rPr>
        <w:t>(</w:t>
      </w:r>
      <w:r w:rsidRPr="00B9732E">
        <w:rPr>
          <w:rFonts w:ascii="Times New Roman" w:eastAsia="Times New Roman" w:hAnsi="Times New Roman" w:cs="Times New Roman"/>
          <w:kern w:val="0"/>
          <w:lang w:eastAsia="fr-FR"/>
        </w:rPr>
        <w:t>5</w:t>
      </w:r>
      <w:r w:rsidR="000C2142">
        <w:rPr>
          <w:rFonts w:ascii="Times New Roman" w:eastAsia="Times New Roman" w:hAnsi="Times New Roman" w:cs="Times New Roman"/>
          <w:kern w:val="0"/>
          <w:lang w:eastAsia="fr-FR"/>
        </w:rPr>
        <w:t>)</w:t>
      </w:r>
      <w:r w:rsidRPr="00B9732E">
        <w:rPr>
          <w:rFonts w:ascii="Times New Roman" w:eastAsia="Times New Roman" w:hAnsi="Times New Roman" w:cs="Times New Roman"/>
          <w:kern w:val="0"/>
          <w:lang w:eastAsia="fr-FR"/>
        </w:rPr>
        <w:t xml:space="preserve">. L’objectif de cette étude est de décrire les </w:t>
      </w:r>
      <w:r w:rsidRPr="00B9732E">
        <w:rPr>
          <w:rFonts w:ascii="Times New Roman" w:eastAsia="Times New Roman" w:hAnsi="Times New Roman" w:cs="Times New Roman"/>
          <w:b/>
          <w:bCs/>
          <w:kern w:val="0"/>
          <w:lang w:eastAsia="fr-FR"/>
        </w:rPr>
        <w:t>caractéristiques épidémiologiques, cliniques et thérapeutiques</w:t>
      </w:r>
      <w:r w:rsidRPr="00B9732E">
        <w:rPr>
          <w:rFonts w:ascii="Times New Roman" w:eastAsia="Times New Roman" w:hAnsi="Times New Roman" w:cs="Times New Roman"/>
          <w:kern w:val="0"/>
          <w:lang w:eastAsia="fr-FR"/>
        </w:rPr>
        <w:t xml:space="preserve"> des patients atteints d’HINT pris en charge au CHU de Mahajanga.</w:t>
      </w:r>
    </w:p>
    <w:p w:rsidR="00B9732E" w:rsidRPr="00FA0BF1" w:rsidRDefault="008B5DDE" w:rsidP="00FA0BF1">
      <w:pPr>
        <w:spacing w:line="240" w:lineRule="auto"/>
        <w:jc w:val="both"/>
        <w:rPr>
          <w:rFonts w:ascii="Times New Roman" w:hAnsi="Times New Roman" w:cs="Times New Roman"/>
          <w:b/>
          <w:noProof/>
          <w:color w:val="0000FF"/>
        </w:rPr>
      </w:pPr>
      <w:r>
        <w:rPr>
          <w:rFonts w:ascii="Times New Roman" w:hAnsi="Times New Roman" w:cs="Times New Roman"/>
          <w:b/>
          <w:noProof/>
          <w:color w:val="0000FF"/>
          <w:lang w:eastAsia="fr-FR"/>
        </w:rPr>
        <w:pict>
          <v:shape id="_x0000_s1029" type="#_x0000_t32" style="position:absolute;left:0;text-align:left;margin-left:52.35pt;margin-top:9.9pt;width:397.1pt;height:0;z-index:251661312" o:connectortype="straight" strokecolor="blue" strokeweight="1.5pt"/>
        </w:pict>
      </w:r>
      <w:r w:rsidR="00FA0BF1">
        <w:rPr>
          <w:rFonts w:ascii="Times New Roman" w:hAnsi="Times New Roman" w:cs="Times New Roman"/>
          <w:b/>
          <w:noProof/>
          <w:color w:val="0000FF"/>
        </w:rPr>
        <w:t>M</w:t>
      </w:r>
      <w:r w:rsidR="00FA0BF1" w:rsidRPr="00FA0BF1">
        <w:rPr>
          <w:rFonts w:ascii="Times New Roman" w:hAnsi="Times New Roman" w:cs="Times New Roman"/>
          <w:b/>
          <w:noProof/>
          <w:color w:val="0000FF"/>
        </w:rPr>
        <w:t>ethodes</w:t>
      </w:r>
    </w:p>
    <w:p w:rsidR="00FA0BF1" w:rsidRDefault="00FA0BF1" w:rsidP="00B9732E">
      <w:pPr>
        <w:spacing w:after="0" w:line="360" w:lineRule="auto"/>
        <w:ind w:firstLine="708"/>
        <w:jc w:val="both"/>
        <w:rPr>
          <w:rFonts w:ascii="Times New Roman" w:hAnsi="Times New Roman" w:cs="Times New Roman"/>
        </w:rPr>
        <w:sectPr w:rsidR="00FA0BF1" w:rsidSect="00FE3EC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B9732E" w:rsidRDefault="00B9732E" w:rsidP="00B9732E">
      <w:pPr>
        <w:spacing w:after="0" w:line="360" w:lineRule="auto"/>
        <w:ind w:firstLine="708"/>
        <w:jc w:val="both"/>
        <w:rPr>
          <w:rFonts w:ascii="Times New Roman" w:hAnsi="Times New Roman" w:cs="Times New Roman"/>
        </w:rPr>
      </w:pPr>
      <w:r w:rsidRPr="00B9732E">
        <w:rPr>
          <w:rFonts w:ascii="Times New Roman" w:hAnsi="Times New Roman" w:cs="Times New Roman"/>
        </w:rPr>
        <w:lastRenderedPageBreak/>
        <w:t xml:space="preserve">Cette étude transversale, descriptive et analytique a été conduite de janvier 2018 à décembre 2023 au service de neurochirurgie du CHU Professeur Zafisaona Gabriel de Mahajanga, visant à décrire les aspects épidémiologiques et thérapeutiques des hématomes intracrâniens non traumatiques. Les critères d’inclusion comprenaient tous les patients âgés de 12 ans et plus présentant un hématome intracrânien non traumatique confirmé par tomodensitométrie (TDM) ou angioscanner, tandis que les hématomes post-traumatiques, les tumeurs </w:t>
      </w:r>
      <w:r w:rsidRPr="00B9732E">
        <w:rPr>
          <w:rFonts w:ascii="Times New Roman" w:hAnsi="Times New Roman" w:cs="Times New Roman"/>
        </w:rPr>
        <w:lastRenderedPageBreak/>
        <w:t>hémorragiques et les dossiers incomplets ont été exclus. Les données collectées portaient sur les caractéristiques démographiques (âge, sexe, ethnie, niveau d’étude, situation matrimoniale, provenance), les aspects cliniques (signes neurologiques, céphalées, déficit moteur, troubles de conscience, comitialité) et les examens paracliniques (TDM, angioscanner et angiographie si disponible). Les informations relatives à la prise en charge médicale (antalgiques, anti-œdémateux, antiépileptiques) et chirurgicale (dérivation ventriculo-</w:t>
      </w:r>
      <w:r w:rsidRPr="00B9732E">
        <w:rPr>
          <w:rFonts w:ascii="Times New Roman" w:hAnsi="Times New Roman" w:cs="Times New Roman"/>
        </w:rPr>
        <w:lastRenderedPageBreak/>
        <w:t xml:space="preserve">péritonéale, drainage ventriculaire externe, craniectomie décompressive) ainsi que l’évolution hospitalière, les complications précoces et tardives et la mortalité ont été systématiquement enregistrées. L’analyse statistique a été réalisée à l’aide du logiciel Epi Info 7, avec présentation des variables </w:t>
      </w:r>
      <w:r w:rsidRPr="00B9732E">
        <w:rPr>
          <w:rFonts w:ascii="Times New Roman" w:hAnsi="Times New Roman" w:cs="Times New Roman"/>
        </w:rPr>
        <w:lastRenderedPageBreak/>
        <w:t>quantitatives en moyennes ± écart-type et des variables qualitatives en effectifs et pourcentages. L’étude a été menée dans le respect de la Déclaration d’Helsinki, avec anonymisation des données et obtention du consentement éclairé des patients.</w:t>
      </w:r>
    </w:p>
    <w:p w:rsidR="00FA0BF1" w:rsidRDefault="00FA0BF1" w:rsidP="00FA0BF1">
      <w:pPr>
        <w:spacing w:after="0" w:line="360" w:lineRule="auto"/>
        <w:jc w:val="both"/>
        <w:rPr>
          <w:rFonts w:ascii="Times New Roman" w:hAnsi="Times New Roman" w:cs="Times New Roman"/>
        </w:rPr>
        <w:sectPr w:rsidR="00FA0BF1" w:rsidSect="00FA0BF1">
          <w:type w:val="continuous"/>
          <w:pgSz w:w="11906" w:h="16838"/>
          <w:pgMar w:top="1417" w:right="1417" w:bottom="1417" w:left="1417" w:header="708" w:footer="708" w:gutter="0"/>
          <w:cols w:num="2" w:space="708"/>
          <w:docGrid w:linePitch="360"/>
        </w:sectPr>
      </w:pPr>
    </w:p>
    <w:p w:rsidR="00B9732E" w:rsidRPr="00B9732E" w:rsidRDefault="00B9732E" w:rsidP="00FA0BF1">
      <w:pPr>
        <w:spacing w:after="0" w:line="360" w:lineRule="auto"/>
        <w:jc w:val="both"/>
        <w:rPr>
          <w:rFonts w:ascii="Times New Roman" w:eastAsia="Times New Roman" w:hAnsi="Times New Roman" w:cs="Times New Roman"/>
          <w:kern w:val="0"/>
          <w:lang w:eastAsia="fr-FR"/>
        </w:rPr>
      </w:pPr>
    </w:p>
    <w:p w:rsidR="00B9732E" w:rsidRPr="00FA0BF1" w:rsidRDefault="008B5DDE" w:rsidP="00FA0BF1">
      <w:pPr>
        <w:spacing w:line="240" w:lineRule="auto"/>
        <w:jc w:val="both"/>
        <w:rPr>
          <w:rFonts w:ascii="Times New Roman" w:hAnsi="Times New Roman" w:cs="Times New Roman"/>
          <w:b/>
          <w:noProof/>
          <w:color w:val="0000FF"/>
          <w:lang w:eastAsia="fr-FR"/>
        </w:rPr>
      </w:pPr>
      <w:r>
        <w:rPr>
          <w:rFonts w:ascii="Times New Roman" w:hAnsi="Times New Roman" w:cs="Times New Roman"/>
          <w:b/>
          <w:noProof/>
          <w:color w:val="0000FF"/>
          <w:lang w:eastAsia="fr-FR"/>
        </w:rPr>
        <w:pict>
          <v:shape id="_x0000_s1030" type="#_x0000_t32" style="position:absolute;left:0;text-align:left;margin-left:49.2pt;margin-top:9.75pt;width:397.1pt;height:0;z-index:251662336" o:connectortype="straight" strokecolor="blue" strokeweight="1.5pt"/>
        </w:pict>
      </w:r>
      <w:r w:rsidR="00FA0BF1">
        <w:rPr>
          <w:rFonts w:ascii="Times New Roman" w:hAnsi="Times New Roman" w:cs="Times New Roman"/>
          <w:b/>
          <w:noProof/>
          <w:color w:val="0000FF"/>
          <w:lang w:eastAsia="fr-FR"/>
        </w:rPr>
        <w:t>Résultats</w:t>
      </w:r>
    </w:p>
    <w:p w:rsidR="00FA0BF1" w:rsidRDefault="00FA0BF1" w:rsidP="00FA0BF1">
      <w:pPr>
        <w:pStyle w:val="NormalWeb"/>
        <w:spacing w:line="360" w:lineRule="auto"/>
        <w:ind w:firstLine="708"/>
        <w:jc w:val="both"/>
        <w:sectPr w:rsidR="00FA0BF1" w:rsidSect="00FA0BF1">
          <w:type w:val="continuous"/>
          <w:pgSz w:w="11906" w:h="16838"/>
          <w:pgMar w:top="1417" w:right="1417" w:bottom="1417" w:left="1417" w:header="708" w:footer="708" w:gutter="0"/>
          <w:cols w:space="708"/>
          <w:docGrid w:linePitch="360"/>
        </w:sectPr>
      </w:pPr>
    </w:p>
    <w:p w:rsidR="00B9732E" w:rsidRDefault="00B9732E" w:rsidP="00FA0BF1">
      <w:pPr>
        <w:pStyle w:val="NormalWeb"/>
        <w:spacing w:line="360" w:lineRule="auto"/>
        <w:ind w:firstLine="708"/>
        <w:jc w:val="both"/>
      </w:pPr>
      <w:r>
        <w:lastRenderedPageBreak/>
        <w:t>Durant la période d’étude, 4176 patients ont été hospitalisés au service de neurochirurgie, dont 309 pour des hématomes intracrâniens. Parmi eux, 125 patients présentant des hématomes intracrâniens non traumatiques (HINT) ont été inclus, représentant 40,45 % des cas d’hématomes intracrâniens.</w:t>
      </w:r>
    </w:p>
    <w:p w:rsidR="00B9732E" w:rsidRDefault="00B9732E" w:rsidP="00FA0BF1">
      <w:pPr>
        <w:pStyle w:val="NormalWeb"/>
        <w:spacing w:line="360" w:lineRule="auto"/>
        <w:ind w:firstLine="708"/>
        <w:jc w:val="both"/>
      </w:pPr>
      <w:r>
        <w:t xml:space="preserve">Le profil épidémiologique montre un âge moyen de 44,0 ± 13,4 ans, avec des extrêmes allant de 12 à 71 ans. Les hommes représentaient 53,6 % de la population, contre 46,4 % de femmes. Sur le plan ethnique, les Sakalava constituaient la majorité (53,6 %), suivis des Tsimihety (20 %) et des Merina (12,8 %). Concernant le niveau d’étude, 46,4 % des patients avaient un niveau universitaire, 27,2 % un niveau primaire et 25,6 % un niveau secondaire. La majorité des patients étaient mariés (61 %) et provenaient de Mahajanga (53,6 %), tandis que 46,4 % venaient d’autres communes. Sur le plan professionnel, 39,2 % exerçaient dans le </w:t>
      </w:r>
      <w:r>
        <w:lastRenderedPageBreak/>
        <w:t>secteur secondaire, 34,4 % dans le tertiaire et 25,6 % dans le primaire.</w:t>
      </w:r>
    </w:p>
    <w:p w:rsidR="00B9732E" w:rsidRDefault="00B9732E" w:rsidP="00FA0BF1">
      <w:pPr>
        <w:pStyle w:val="NormalWeb"/>
        <w:spacing w:line="360" w:lineRule="auto"/>
        <w:ind w:firstLine="708"/>
        <w:jc w:val="both"/>
      </w:pPr>
      <w:r>
        <w:t>Les étiologies étaient dominées par l’AVC hémorragique spontané (64 %), suivi des fistules artérioveineuses durales (13,6 %), des anévrismes rompus (9,6 %), des malformations artérioveineuses (8 %), de l’angiopathie amyloïde (7,2 %) et du syndrome de vasoconstriction cérébrale réversible (2,4 %). Sur le plan des antécédents, l’hypertension artérielle était présente chez 72 % des patients, le diabète chez 12 %, et les antécédents cardiovasculaires (ACFA, TVP) chez 15 %.</w:t>
      </w:r>
    </w:p>
    <w:p w:rsidR="00B9732E" w:rsidRDefault="00B9732E" w:rsidP="00FA0BF1">
      <w:pPr>
        <w:pStyle w:val="NormalWeb"/>
        <w:spacing w:line="360" w:lineRule="auto"/>
        <w:ind w:firstLine="708"/>
        <w:jc w:val="both"/>
      </w:pPr>
      <w:r>
        <w:t xml:space="preserve">Cliniquement, le déficit neurologique était le signe le plus fréquent (76,8 %), suivi des troubles du comportement (32 %), de la comitialité (28,8 %), des troubles mnésiques (21,6 %), des troubles de la marche (17,6 %) et des vomissements (4,8 %). Les examens complémentaires ont montré une </w:t>
      </w:r>
      <w:r>
        <w:lastRenderedPageBreak/>
        <w:t>prédominance des hématomes thalamiques droits (36,8 %) et gauches (27,2 %) à la TDM cérébrale, et l’angioscanner ou l’angiographie a permis d’identifier les fistules durales, les anévrismes et les malformations artérioveineuses.</w:t>
      </w:r>
    </w:p>
    <w:p w:rsidR="00B9732E" w:rsidRDefault="00B9732E" w:rsidP="00FA0BF1">
      <w:pPr>
        <w:pStyle w:val="NormalWeb"/>
        <w:spacing w:line="360" w:lineRule="auto"/>
        <w:ind w:firstLine="708"/>
        <w:jc w:val="both"/>
      </w:pPr>
      <w:r>
        <w:t xml:space="preserve">Le traitement médicamenteux comprenait systématiquement des antalgiques (100 %), des anti-œdémateux (91,2 %), des antiépileptiques (36,8 %) et la nimodipine (8 %). Sur le plan chirurgical, 16,8 % des patients ont bénéficié d’une dérivation ventriculo-péritonéale (DVP), 12 % d’une évacuation </w:t>
      </w:r>
      <w:r>
        <w:lastRenderedPageBreak/>
        <w:t>d’hématome par volet crânien, 3,2 % d’un drainage ventriculaire externe (DVE) et 2,4 % d’une craniectomie décompressive.</w:t>
      </w:r>
    </w:p>
    <w:p w:rsidR="00B9732E" w:rsidRDefault="00B9732E" w:rsidP="00FA0BF1">
      <w:pPr>
        <w:pStyle w:val="NormalWeb"/>
        <w:spacing w:line="360" w:lineRule="auto"/>
        <w:ind w:firstLine="708"/>
        <w:jc w:val="both"/>
      </w:pPr>
      <w:r>
        <w:t>L’évolution hospitalière était favorable dans 72,8 % des cas. Les complications précoces comprenaient l’épilepsie (10,4 %), l’hypertension intracrânienne (7,2 %) et le vasospasme (5,6 %), tandis que les complications tardives à trois mois étaient dominées par l’épilepsie (5,6 %) et l’hémiplégie droite (4 %). La mortalité hospitalière s’élevait à 12 %</w:t>
      </w:r>
    </w:p>
    <w:p w:rsidR="00FA0BF1" w:rsidRDefault="00FA0BF1" w:rsidP="00B9732E">
      <w:pPr>
        <w:spacing w:before="100" w:beforeAutospacing="1" w:after="100" w:afterAutospacing="1" w:line="360" w:lineRule="auto"/>
        <w:jc w:val="both"/>
        <w:rPr>
          <w:rFonts w:ascii="Times New Roman" w:eastAsia="Times New Roman" w:hAnsi="Times New Roman" w:cs="Times New Roman"/>
          <w:kern w:val="0"/>
          <w:lang w:eastAsia="fr-FR"/>
        </w:rPr>
        <w:sectPr w:rsidR="00FA0BF1" w:rsidSect="00FA0BF1">
          <w:type w:val="continuous"/>
          <w:pgSz w:w="11906" w:h="16838"/>
          <w:pgMar w:top="1417" w:right="1417" w:bottom="1417" w:left="1417" w:header="708" w:footer="708" w:gutter="0"/>
          <w:cols w:num="2" w:space="708"/>
          <w:docGrid w:linePitch="360"/>
        </w:sectPr>
      </w:pPr>
    </w:p>
    <w:p w:rsidR="007A5CEF" w:rsidRDefault="007A5CEF" w:rsidP="00B9732E">
      <w:pPr>
        <w:spacing w:before="100" w:beforeAutospacing="1" w:after="100" w:afterAutospacing="1" w:line="360" w:lineRule="auto"/>
        <w:jc w:val="both"/>
        <w:rPr>
          <w:rFonts w:ascii="Times New Roman" w:eastAsia="Times New Roman" w:hAnsi="Times New Roman" w:cs="Times New Roman"/>
          <w:kern w:val="0"/>
          <w:lang w:eastAsia="fr-FR"/>
        </w:rPr>
      </w:pPr>
    </w:p>
    <w:p w:rsidR="007A5CEF" w:rsidRPr="00FA0BF1" w:rsidRDefault="008B5DDE" w:rsidP="00FA0BF1">
      <w:pPr>
        <w:spacing w:line="240" w:lineRule="auto"/>
        <w:jc w:val="both"/>
        <w:rPr>
          <w:rFonts w:ascii="Times New Roman" w:hAnsi="Times New Roman" w:cs="Times New Roman"/>
          <w:b/>
          <w:noProof/>
          <w:color w:val="0000FF"/>
          <w:lang w:eastAsia="fr-FR"/>
        </w:rPr>
      </w:pPr>
      <w:r>
        <w:rPr>
          <w:rFonts w:ascii="Times New Roman" w:hAnsi="Times New Roman" w:cs="Times New Roman"/>
          <w:b/>
          <w:noProof/>
          <w:color w:val="0000FF"/>
          <w:lang w:eastAsia="fr-FR"/>
        </w:rPr>
        <w:pict>
          <v:shape id="_x0000_s1031" type="#_x0000_t32" style="position:absolute;left:0;text-align:left;margin-left:56.65pt;margin-top:10.1pt;width:397.1pt;height:0;z-index:251663360" o:connectortype="straight" strokecolor="blue" strokeweight="1.5pt"/>
        </w:pict>
      </w:r>
      <w:r w:rsidR="007A5CEF" w:rsidRPr="00FA0BF1">
        <w:rPr>
          <w:rFonts w:ascii="Times New Roman" w:hAnsi="Times New Roman" w:cs="Times New Roman"/>
          <w:b/>
          <w:noProof/>
          <w:color w:val="0000FF"/>
          <w:lang w:eastAsia="fr-FR"/>
        </w:rPr>
        <w:t>D</w:t>
      </w:r>
      <w:r w:rsidR="002E27D8" w:rsidRPr="00FA0BF1">
        <w:rPr>
          <w:rFonts w:ascii="Times New Roman" w:hAnsi="Times New Roman" w:cs="Times New Roman"/>
          <w:b/>
          <w:noProof/>
          <w:color w:val="0000FF"/>
          <w:lang w:eastAsia="fr-FR"/>
        </w:rPr>
        <w:t>iscussion</w:t>
      </w:r>
      <w:r w:rsidR="007A5CEF" w:rsidRPr="00FA0BF1">
        <w:rPr>
          <w:rFonts w:ascii="Times New Roman" w:hAnsi="Times New Roman" w:cs="Times New Roman"/>
          <w:b/>
          <w:noProof/>
          <w:color w:val="0000FF"/>
          <w:lang w:eastAsia="fr-FR"/>
        </w:rPr>
        <w:t xml:space="preserve"> </w:t>
      </w:r>
    </w:p>
    <w:p w:rsidR="002E27D8" w:rsidRDefault="002E27D8" w:rsidP="002E27D8">
      <w:pPr>
        <w:spacing w:before="100" w:beforeAutospacing="1" w:after="100" w:afterAutospacing="1" w:line="360" w:lineRule="auto"/>
        <w:ind w:firstLine="708"/>
        <w:jc w:val="both"/>
        <w:rPr>
          <w:rFonts w:ascii="Times New Roman" w:eastAsia="Times New Roman" w:hAnsi="Times New Roman" w:cs="Times New Roman"/>
          <w:kern w:val="0"/>
          <w:lang w:eastAsia="fr-FR"/>
        </w:rPr>
        <w:sectPr w:rsidR="002E27D8" w:rsidSect="00FA0BF1">
          <w:type w:val="continuous"/>
          <w:pgSz w:w="11906" w:h="16838"/>
          <w:pgMar w:top="1417" w:right="1417" w:bottom="1417" w:left="1417" w:header="708" w:footer="708" w:gutter="0"/>
          <w:cols w:space="708"/>
          <w:docGrid w:linePitch="360"/>
        </w:sectPr>
      </w:pPr>
    </w:p>
    <w:p w:rsidR="00462A46" w:rsidRPr="00462A46" w:rsidRDefault="00462A46" w:rsidP="002E27D8">
      <w:pPr>
        <w:spacing w:before="100" w:beforeAutospacing="1" w:after="100" w:afterAutospacing="1" w:line="360" w:lineRule="auto"/>
        <w:ind w:firstLine="708"/>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lastRenderedPageBreak/>
        <w:t>Cette étude constitue, à notre connaissance, l’une des séries hospitalières les plus complètes consacrées aux hématomes intracrâniens non traumatiques (HINT) dans le nord-ouest de Madagascar. Elle apporte des données originales sur un contexte géographique et socio-économique peu documenté, tout en permettant une comparaison pertinente avec les tendances internationales. Les résultats mettent en évidence des spécificités épidémiologiques, cliniques et thérapeutiques caractéristiques des pays à ressources limitées, tout en confirmant les grands déterminants physiopathologiques décrits dans la littérature mondiale.</w:t>
      </w:r>
    </w:p>
    <w:p w:rsidR="00462A46" w:rsidRPr="00462A46" w:rsidRDefault="00462A46" w:rsidP="002E27D8">
      <w:pPr>
        <w:spacing w:before="100" w:beforeAutospacing="1" w:after="100" w:afterAutospacing="1" w:line="360" w:lineRule="auto"/>
        <w:ind w:firstLine="708"/>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lastRenderedPageBreak/>
        <w:t xml:space="preserve">L’âge moyen de 44 ans observé dans notre cohorte est nettement inférieur à celui rapporté dans les pays à revenu élevé, où l’hémorragie intracérébrale survient le plus souvent entre 55 et 70 ans </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3,9</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 Cette différence significative a été largement décrite dans les études menées en Afrique subsaharienne</w:t>
      </w:r>
      <w:r w:rsidR="00A46924">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 xml:space="preserve"> où les AVC hémorragiques touchent des sujets plus jeunes, souvent en pleine activité socio-professionnelle. Cette précocité constitue un enjeu majeur de santé publique, car elle entraîne une perte importante d’années de vie productives et accentue le fardeau socio-économique des familles et des systèmes de santé.</w:t>
      </w:r>
    </w:p>
    <w:p w:rsidR="00462A46" w:rsidRPr="00462A46" w:rsidRDefault="00462A46" w:rsidP="002E27D8">
      <w:pPr>
        <w:spacing w:before="100" w:beforeAutospacing="1" w:after="100" w:afterAutospacing="1" w:line="360" w:lineRule="auto"/>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lastRenderedPageBreak/>
        <w:t xml:space="preserve">Plusieurs facteurs peuvent expliquer cette survenue précoce. L’hypertension artérielle, souvent diagnostiquée tardivement, insuffisamment traitée ou mal contrôlée, joue un rôle central. À cela s’ajoutent le faible accès aux soins préventifs, la rareté du suivi médical régulier et la méconnaissance des facteurs de risque cardiovasculaires au sein de la population. Ces constats rejoignent les données issues des études épidémiologiques menées dans les pays à faible et moyen revenu, où l’HTA demeure le principal déterminant des AVC hémorragiques précoces </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3,5</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w:t>
      </w:r>
    </w:p>
    <w:p w:rsidR="00462A46" w:rsidRPr="00462A46" w:rsidRDefault="00462A46" w:rsidP="002E27D8">
      <w:pPr>
        <w:spacing w:before="100" w:beforeAutospacing="1" w:after="100" w:afterAutospacing="1" w:line="360" w:lineRule="auto"/>
        <w:ind w:firstLine="708"/>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t xml:space="preserve">La légère prédominance masculine observée dans notre série (53,6 %) est conforme aux données rapportées par plusieurs séries hospitalières africaines et internationales </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10,11</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 xml:space="preserve">. Bien que certaines études populationnelles suggèrent une incidence comparable entre les </w:t>
      </w:r>
      <w:r w:rsidR="00BA3F68">
        <w:rPr>
          <w:rFonts w:ascii="Times New Roman" w:eastAsia="Times New Roman" w:hAnsi="Times New Roman" w:cs="Times New Roman"/>
          <w:kern w:val="0"/>
          <w:lang w:eastAsia="fr-FR"/>
        </w:rPr>
        <w:t>genres</w:t>
      </w:r>
      <w:r w:rsidRPr="00462A46">
        <w:rPr>
          <w:rFonts w:ascii="Times New Roman" w:eastAsia="Times New Roman" w:hAnsi="Times New Roman" w:cs="Times New Roman"/>
          <w:kern w:val="0"/>
          <w:lang w:eastAsia="fr-FR"/>
        </w:rPr>
        <w:t>après ajustement sur les facteurs de risque, les hommes semblent plus fréquemment hospitalisés pour HINT. Cette différence pourrait s’expliquer par une exposition accrue aux facteurs de risque comportementaux, une observance thérapeutique moindre et, dans certains contextes, un accès différentiel aux soins.</w:t>
      </w:r>
    </w:p>
    <w:p w:rsidR="00462A46" w:rsidRPr="00462A46" w:rsidRDefault="00462A46" w:rsidP="002E27D8">
      <w:pPr>
        <w:spacing w:before="100" w:beforeAutospacing="1" w:after="100" w:afterAutospacing="1" w:line="360" w:lineRule="auto"/>
        <w:ind w:firstLine="708"/>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t xml:space="preserve">Dans notre étude, l’AVC hémorragique spontané constituait </w:t>
      </w:r>
      <w:r w:rsidRPr="00462A46">
        <w:rPr>
          <w:rFonts w:ascii="Times New Roman" w:eastAsia="Times New Roman" w:hAnsi="Times New Roman" w:cs="Times New Roman"/>
          <w:kern w:val="0"/>
          <w:lang w:eastAsia="fr-FR"/>
        </w:rPr>
        <w:lastRenderedPageBreak/>
        <w:t xml:space="preserve">l’étiologie prédominante, représentant près des deux tiers des cas. Cette observation confirme le rôle central de l’hypertension artérielle dans la physiopathologie des hémorragies intracérébrales, comme largement documenté dans la littérature </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12,13</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 L’HTA chronique entraîne des altérations structurelles des petites artères cérébrales, notamment une lipohyalinose et une fragilisation de la paroi vasculaire, favorisant la rupture spontanée des vaisseaux perforants.</w:t>
      </w:r>
    </w:p>
    <w:p w:rsidR="00462A46" w:rsidRPr="00462A46" w:rsidRDefault="00462A46" w:rsidP="002E27D8">
      <w:pPr>
        <w:spacing w:before="100" w:beforeAutospacing="1" w:after="100" w:afterAutospacing="1" w:line="360" w:lineRule="auto"/>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t xml:space="preserve">La proportion non négligeable d’anomalies vasculaires structurelles (fistules durales, anévrismes rompus et malformations artérioveineuses) souligne l’importance d’un bilan étiologique approfondi chez les patients atteints de HINT, en particulier chez les sujets jeunes et ceux sans facteur de risque vasculaire évident. L’angioscanner et l’angiographie cérébrale sont des outils diagnostiques essentiels pour identifier ces lésions et orienter la prise en charge thérapeutique </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14</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 Toutefois, dans notre contexte, l’accès limité à ces examens constitue une contrainte majeure, pouvant conduire à une sous-estimation de certaines étiologies et à un retard dans la prise en charge spécifique.</w:t>
      </w:r>
    </w:p>
    <w:p w:rsidR="00462A46" w:rsidRPr="00462A46" w:rsidRDefault="00462A46" w:rsidP="002E27D8">
      <w:pPr>
        <w:spacing w:before="100" w:beforeAutospacing="1" w:after="100" w:afterAutospacing="1" w:line="360" w:lineRule="auto"/>
        <w:ind w:firstLine="708"/>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t xml:space="preserve">Sur le plan clinique, le déficit neurologique focal était le signe le plus </w:t>
      </w:r>
      <w:r w:rsidRPr="00462A46">
        <w:rPr>
          <w:rFonts w:ascii="Times New Roman" w:eastAsia="Times New Roman" w:hAnsi="Times New Roman" w:cs="Times New Roman"/>
          <w:kern w:val="0"/>
          <w:lang w:eastAsia="fr-FR"/>
        </w:rPr>
        <w:lastRenderedPageBreak/>
        <w:t xml:space="preserve">fréquemment observé à l’admission. Ce résultat est en adéquation avec les séries internationales, où le déficit moteur, les troubles de la conscience et les crises comitiales figurent parmi les principales manifestations des hémorragies intracérébrales </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1</w:t>
      </w:r>
      <w:r w:rsidR="000C2142">
        <w:rPr>
          <w:rFonts w:ascii="Times New Roman" w:eastAsia="Times New Roman" w:hAnsi="Times New Roman" w:cs="Times New Roman"/>
          <w:kern w:val="0"/>
          <w:lang w:eastAsia="fr-FR"/>
        </w:rPr>
        <w:t>5)</w:t>
      </w:r>
      <w:r w:rsidRPr="00462A46">
        <w:rPr>
          <w:rFonts w:ascii="Times New Roman" w:eastAsia="Times New Roman" w:hAnsi="Times New Roman" w:cs="Times New Roman"/>
          <w:kern w:val="0"/>
          <w:lang w:eastAsia="fr-FR"/>
        </w:rPr>
        <w:t>. Le déficit neurologique initial est reconnu comme un facteur pronostique majeur, étroitement corrélé au volume de l’hématome, à sa localisation et à l’existence d’une extension intraventriculaire.</w:t>
      </w:r>
    </w:p>
    <w:p w:rsidR="00462A46" w:rsidRPr="00462A46" w:rsidRDefault="00462A46" w:rsidP="002E27D8">
      <w:pPr>
        <w:spacing w:before="100" w:beforeAutospacing="1" w:after="100" w:afterAutospacing="1" w:line="360" w:lineRule="auto"/>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t xml:space="preserve">Les données radiologiques de notre étude montrent une prédominance des localisations thalamiques, aussi bien droites que gauches. Cette distribution topographique est typique des hémorragies liées à l’hypertension artérielle, qui affectent préférentiellement les territoires des petites artères perforantes issues des artères cérébrales profondes </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1</w:t>
      </w:r>
      <w:r w:rsidR="000C2142">
        <w:rPr>
          <w:rFonts w:ascii="Times New Roman" w:eastAsia="Times New Roman" w:hAnsi="Times New Roman" w:cs="Times New Roman"/>
          <w:kern w:val="0"/>
          <w:lang w:eastAsia="fr-FR"/>
        </w:rPr>
        <w:t>6)</w:t>
      </w:r>
      <w:r w:rsidRPr="00462A46">
        <w:rPr>
          <w:rFonts w:ascii="Times New Roman" w:eastAsia="Times New Roman" w:hAnsi="Times New Roman" w:cs="Times New Roman"/>
          <w:kern w:val="0"/>
          <w:lang w:eastAsia="fr-FR"/>
        </w:rPr>
        <w:t>. La localisation thalamique est souvent associée à un risque accru de troubles de la vigilance, de déficits moteurs sévères et d’atteinte des fonctions cognitives, ce qui explique en partie la morbidité observée dans notre série.</w:t>
      </w:r>
    </w:p>
    <w:p w:rsidR="00462A46" w:rsidRPr="00462A46" w:rsidRDefault="00462A46" w:rsidP="002E27D8">
      <w:pPr>
        <w:spacing w:before="100" w:beforeAutospacing="1" w:after="100" w:afterAutospacing="1" w:line="360" w:lineRule="auto"/>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t xml:space="preserve">La tomodensitométrie cérébrale reste l’examen de première intention pour le diagnostic des HINT, permettant d’évaluer la localisation, le volume de l’hématome et l’effet de masse associé. Néanmoins, </w:t>
      </w:r>
      <w:r w:rsidRPr="00462A46">
        <w:rPr>
          <w:rFonts w:ascii="Times New Roman" w:eastAsia="Times New Roman" w:hAnsi="Times New Roman" w:cs="Times New Roman"/>
          <w:kern w:val="0"/>
          <w:lang w:eastAsia="fr-FR"/>
        </w:rPr>
        <w:lastRenderedPageBreak/>
        <w:t>l’absence de quantification volumétrique standardisée et de scores radiologiques pronostiques constitue une limite importante de notre étude, comme dans de nombreuses séries issues de contextes similaires.</w:t>
      </w:r>
    </w:p>
    <w:p w:rsidR="00462A46" w:rsidRPr="00462A46" w:rsidRDefault="00462A46" w:rsidP="002E27D8">
      <w:pPr>
        <w:spacing w:before="100" w:beforeAutospacing="1" w:after="100" w:afterAutospacing="1" w:line="360" w:lineRule="auto"/>
        <w:ind w:firstLine="708"/>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t xml:space="preserve">La stratégie thérapeutique adoptée dans notre cohorte reposait principalement sur le traitement médical, en conformité avec les recommandations internationales actuelles </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1,2</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 Celui-ci inclut la stabilisation hémodynamique, le contrôle strict de la pression artérielle, la prévention de l’œdème cérébral et la prise en charge des crises épileptiques. Ces mesures sont essentielles pour limiter l’expansion hémorragique et prévenir les complications secondaires.</w:t>
      </w:r>
    </w:p>
    <w:p w:rsidR="00462A46" w:rsidRPr="00462A46" w:rsidRDefault="00462A46" w:rsidP="002E27D8">
      <w:pPr>
        <w:spacing w:before="100" w:beforeAutospacing="1" w:after="100" w:afterAutospacing="1" w:line="360" w:lineRule="auto"/>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t xml:space="preserve">La prise en charge chirurgicale concernait une proportion limitée de patients, sélectionnés sur la base de critères cliniques et radiologiques précis. Bien que les bénéfices de la chirurgie dans l’hémorragie intracérébrale spontanée demeurent débattus, plusieurs études suggèrent un avantage fonctionnel dans des situations bien définies, notamment en cas d’hydrocéphalie aiguë, d’hémorragie compressive ou de détérioration neurologique rapide </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17</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 xml:space="preserve">. Dans notre série, le traitement chirurgical était associé à une meilleure évolution fonctionnelle, </w:t>
      </w:r>
      <w:r w:rsidRPr="00462A46">
        <w:rPr>
          <w:rFonts w:ascii="Times New Roman" w:eastAsia="Times New Roman" w:hAnsi="Times New Roman" w:cs="Times New Roman"/>
          <w:kern w:val="0"/>
          <w:lang w:eastAsia="fr-FR"/>
        </w:rPr>
        <w:lastRenderedPageBreak/>
        <w:t>soulignant l’importance d’une sélection rigoureuse des indications, particulièrement dans un contexte de ressources limitées.</w:t>
      </w:r>
    </w:p>
    <w:p w:rsidR="00462A46" w:rsidRPr="00462A46" w:rsidRDefault="00462A46" w:rsidP="002E27D8">
      <w:pPr>
        <w:spacing w:before="100" w:beforeAutospacing="1" w:after="100" w:afterAutospacing="1" w:line="360" w:lineRule="auto"/>
        <w:ind w:firstLine="708"/>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t xml:space="preserve">La mortalité hospitalière observée (12 %) est inférieure à celle rapportée dans de nombreuses séries internationales, où elle peut atteindre 20 à 40 % à court terme </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3,18</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 Cette différence pourrait s’expliquer par une sélection hospitalière des patients, une prise en charge médicale relativement précoce et l’exclusion des formes les plus graves décédées avant l’admission. Néanmoins, cette mortalité demeure préoccupante et reflète la gravité intrinsèque des HINT, le retard de consultation et les contraintes structurelles du système de santé.</w:t>
      </w:r>
    </w:p>
    <w:p w:rsidR="00462A46" w:rsidRPr="00462A46" w:rsidRDefault="00462A46" w:rsidP="002E27D8">
      <w:pPr>
        <w:spacing w:before="100" w:beforeAutospacing="1" w:after="100" w:afterAutospacing="1" w:line="360" w:lineRule="auto"/>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t xml:space="preserve">Les complications précoces et tardives observées, notamment l’épilepsie et les déficits neurologiques persistants, sont </w:t>
      </w:r>
      <w:r w:rsidRPr="00462A46">
        <w:rPr>
          <w:rFonts w:ascii="Times New Roman" w:eastAsia="Times New Roman" w:hAnsi="Times New Roman" w:cs="Times New Roman"/>
          <w:kern w:val="0"/>
          <w:lang w:eastAsia="fr-FR"/>
        </w:rPr>
        <w:lastRenderedPageBreak/>
        <w:t xml:space="preserve">bien décrites dans la littérature et contribuent significativement à la morbidité à long terme </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16</w:t>
      </w:r>
      <w:r w:rsidR="000C2142">
        <w:rPr>
          <w:rFonts w:ascii="Times New Roman" w:eastAsia="Times New Roman" w:hAnsi="Times New Roman" w:cs="Times New Roman"/>
          <w:kern w:val="0"/>
          <w:lang w:eastAsia="fr-FR"/>
        </w:rPr>
        <w:t>)</w:t>
      </w:r>
      <w:r w:rsidRPr="00462A46">
        <w:rPr>
          <w:rFonts w:ascii="Times New Roman" w:eastAsia="Times New Roman" w:hAnsi="Times New Roman" w:cs="Times New Roman"/>
          <w:kern w:val="0"/>
          <w:lang w:eastAsia="fr-FR"/>
        </w:rPr>
        <w:t>. Elles soulignent la nécessité d’un suivi neurologique prolongé et d’une prise en charge rééducative adaptée.</w:t>
      </w:r>
    </w:p>
    <w:p w:rsidR="00462A46" w:rsidRDefault="00462A46" w:rsidP="002E27D8">
      <w:pPr>
        <w:spacing w:before="100" w:beforeAutospacing="1" w:after="100" w:afterAutospacing="1" w:line="360" w:lineRule="auto"/>
        <w:ind w:firstLine="708"/>
        <w:jc w:val="both"/>
        <w:rPr>
          <w:rFonts w:ascii="Times New Roman" w:eastAsia="Times New Roman" w:hAnsi="Times New Roman" w:cs="Times New Roman"/>
          <w:kern w:val="0"/>
          <w:lang w:eastAsia="fr-FR"/>
        </w:rPr>
      </w:pPr>
      <w:r w:rsidRPr="00462A46">
        <w:rPr>
          <w:rFonts w:ascii="Times New Roman" w:eastAsia="Times New Roman" w:hAnsi="Times New Roman" w:cs="Times New Roman"/>
          <w:kern w:val="0"/>
          <w:lang w:eastAsia="fr-FR"/>
        </w:rPr>
        <w:t>Les principales limites de cette étude résident dans son caractère rétrospectif et monocentrique, ainsi que dans l’absence de scores cliniques et radiologiques standardisés tels que le Glasgow Coma Scale, le NIHSS ou l’ICH score. De plus, l’accès limité aux examens d’imagerie avancée a pu influencer la classification étiologique. Malgré ces limites, cette étude fournit des données précieuses et constitue une base solide pour le développement d’études prospectives multicentriques visant à affiner les stratégies de prise en charge des HINT à Madagascar.</w:t>
      </w:r>
    </w:p>
    <w:p w:rsidR="002E27D8" w:rsidRDefault="002E27D8" w:rsidP="00462A46">
      <w:pPr>
        <w:spacing w:before="100" w:beforeAutospacing="1" w:after="100" w:afterAutospacing="1" w:line="240" w:lineRule="auto"/>
        <w:rPr>
          <w:rFonts w:ascii="Times New Roman" w:eastAsia="Times New Roman" w:hAnsi="Times New Roman" w:cs="Times New Roman"/>
          <w:kern w:val="0"/>
          <w:lang w:eastAsia="fr-FR"/>
        </w:rPr>
        <w:sectPr w:rsidR="002E27D8" w:rsidSect="002E27D8">
          <w:type w:val="continuous"/>
          <w:pgSz w:w="11906" w:h="16838"/>
          <w:pgMar w:top="1417" w:right="1417" w:bottom="1417" w:left="1417" w:header="708" w:footer="708" w:gutter="0"/>
          <w:cols w:num="2" w:space="708"/>
          <w:docGrid w:linePitch="360"/>
        </w:sectPr>
      </w:pPr>
    </w:p>
    <w:p w:rsidR="00462A46" w:rsidRDefault="00462A46" w:rsidP="00462A46">
      <w:pPr>
        <w:spacing w:before="100" w:beforeAutospacing="1" w:after="100" w:afterAutospacing="1" w:line="240" w:lineRule="auto"/>
        <w:rPr>
          <w:rFonts w:ascii="Times New Roman" w:eastAsia="Times New Roman" w:hAnsi="Times New Roman" w:cs="Times New Roman"/>
          <w:kern w:val="0"/>
          <w:lang w:eastAsia="fr-FR"/>
        </w:rPr>
      </w:pPr>
    </w:p>
    <w:p w:rsidR="00BA3F68" w:rsidRPr="00EA7C0B" w:rsidRDefault="008B5DDE" w:rsidP="00EA7C0B">
      <w:pPr>
        <w:spacing w:line="240" w:lineRule="auto"/>
        <w:jc w:val="both"/>
        <w:rPr>
          <w:rFonts w:ascii="Times New Roman" w:hAnsi="Times New Roman" w:cs="Times New Roman"/>
          <w:b/>
          <w:noProof/>
          <w:color w:val="0000FF"/>
          <w:lang w:eastAsia="fr-FR"/>
        </w:rPr>
      </w:pPr>
      <w:r>
        <w:rPr>
          <w:rFonts w:ascii="Times New Roman" w:hAnsi="Times New Roman" w:cs="Times New Roman"/>
          <w:b/>
          <w:noProof/>
          <w:color w:val="0000FF"/>
          <w:lang w:eastAsia="fr-FR"/>
        </w:rPr>
        <w:pict>
          <v:shape id="_x0000_s1032" type="#_x0000_t32" style="position:absolute;left:0;text-align:left;margin-left:60.1pt;margin-top:10.15pt;width:397.1pt;height:0;z-index:251664384" o:connectortype="straight" strokecolor="blue" strokeweight="1.5pt"/>
        </w:pict>
      </w:r>
      <w:r w:rsidR="00462A46" w:rsidRPr="00EA7C0B">
        <w:rPr>
          <w:rFonts w:ascii="Times New Roman" w:hAnsi="Times New Roman" w:cs="Times New Roman"/>
          <w:b/>
          <w:noProof/>
          <w:color w:val="0000FF"/>
          <w:lang w:eastAsia="fr-FR"/>
        </w:rPr>
        <w:t>C</w:t>
      </w:r>
      <w:r w:rsidR="002E27D8" w:rsidRPr="00EA7C0B">
        <w:rPr>
          <w:rFonts w:ascii="Times New Roman" w:hAnsi="Times New Roman" w:cs="Times New Roman"/>
          <w:b/>
          <w:noProof/>
          <w:color w:val="0000FF"/>
          <w:lang w:eastAsia="fr-FR"/>
        </w:rPr>
        <w:t>onclusion</w:t>
      </w:r>
      <w:r w:rsidR="00462A46" w:rsidRPr="00EA7C0B">
        <w:rPr>
          <w:rFonts w:ascii="Times New Roman" w:hAnsi="Times New Roman" w:cs="Times New Roman"/>
          <w:b/>
          <w:noProof/>
          <w:color w:val="0000FF"/>
          <w:lang w:eastAsia="fr-FR"/>
        </w:rPr>
        <w:t xml:space="preserve"> </w:t>
      </w:r>
    </w:p>
    <w:p w:rsidR="00462A46" w:rsidRPr="00462A46" w:rsidRDefault="00462A46" w:rsidP="00BA3F68">
      <w:pPr>
        <w:spacing w:before="100" w:beforeAutospacing="1" w:after="100" w:afterAutospacing="1" w:line="360" w:lineRule="auto"/>
        <w:ind w:firstLine="708"/>
        <w:jc w:val="both"/>
        <w:rPr>
          <w:rFonts w:ascii="Times New Roman" w:eastAsia="Times New Roman" w:hAnsi="Times New Roman" w:cs="Times New Roman"/>
          <w:kern w:val="0"/>
          <w:lang w:eastAsia="fr-FR"/>
        </w:rPr>
      </w:pPr>
      <w:r w:rsidRPr="00462A46">
        <w:rPr>
          <w:rFonts w:ascii="Times New Roman" w:hAnsi="Times New Roman" w:cs="Times New Roman"/>
        </w:rPr>
        <w:t>Les hématomes intracrâniens non traumatiques à Mahajanga touchent préférentiellement l’adulte jeune, avec une prédominance masculine et une forte association à l’hypertension artérielle non contrôlée. Malgré une mortalité hospitalière modérée, la morbidité demeure élevée en raison du retard diagnostique et des limites d’accès à l’imagerie et à la neurochirurgie spécialisée. L’amélioration du contrôle des facteurs de risque vasculaires, le recours systématique à l’imagerie vasculaire et une sélection rigoureuse des indications chirurgicales sont essentiels pour optimiser le pronostic. Des stratégies de prévention primaire et de renforcement des capacités sanitaires constituent un levier majeur de réduction de la charge des HINT à Madagascar.</w:t>
      </w:r>
    </w:p>
    <w:p w:rsidR="007A5CEF" w:rsidRPr="007A5CEF" w:rsidRDefault="007A5CEF" w:rsidP="007A5CEF">
      <w:pPr>
        <w:spacing w:after="0" w:line="360" w:lineRule="auto"/>
        <w:jc w:val="both"/>
        <w:rPr>
          <w:rFonts w:ascii="Times New Roman" w:eastAsia="Times New Roman" w:hAnsi="Times New Roman" w:cs="Times New Roman"/>
          <w:kern w:val="0"/>
          <w:lang w:eastAsia="fr-FR"/>
        </w:rPr>
      </w:pPr>
    </w:p>
    <w:p w:rsidR="007A5CEF" w:rsidRPr="00EA7C0B" w:rsidRDefault="008B5DDE" w:rsidP="00EA7C0B">
      <w:pPr>
        <w:spacing w:line="240" w:lineRule="auto"/>
        <w:jc w:val="both"/>
        <w:rPr>
          <w:rFonts w:ascii="Times New Roman" w:hAnsi="Times New Roman" w:cs="Times New Roman"/>
          <w:b/>
          <w:noProof/>
          <w:color w:val="0000FF"/>
          <w:lang w:eastAsia="fr-FR"/>
        </w:rPr>
      </w:pPr>
      <w:r>
        <w:rPr>
          <w:rFonts w:ascii="Times New Roman" w:hAnsi="Times New Roman" w:cs="Times New Roman"/>
          <w:b/>
          <w:noProof/>
          <w:color w:val="0000FF"/>
          <w:lang w:eastAsia="fr-FR"/>
        </w:rPr>
        <w:pict>
          <v:shape id="_x0000_s1033" type="#_x0000_t32" style="position:absolute;left:0;text-align:left;margin-left:150.2pt;margin-top:8.65pt;width:302.6pt;height:.05pt;z-index:251665408" o:connectortype="straight" strokecolor="blue" strokeweight="1.5pt"/>
        </w:pict>
      </w:r>
      <w:r w:rsidR="00BA3F68" w:rsidRPr="00EA7C0B">
        <w:rPr>
          <w:rFonts w:ascii="Times New Roman" w:hAnsi="Times New Roman" w:cs="Times New Roman"/>
          <w:b/>
          <w:noProof/>
          <w:color w:val="0000FF"/>
          <w:lang w:eastAsia="fr-FR"/>
        </w:rPr>
        <w:t>R</w:t>
      </w:r>
      <w:r w:rsidR="00EA7C0B" w:rsidRPr="00EA7C0B">
        <w:rPr>
          <w:rFonts w:ascii="Times New Roman" w:hAnsi="Times New Roman" w:cs="Times New Roman"/>
          <w:b/>
          <w:noProof/>
          <w:color w:val="0000FF"/>
          <w:lang w:eastAsia="fr-FR"/>
        </w:rPr>
        <w:t>eferences</w:t>
      </w:r>
      <w:r w:rsidR="00BA3F68" w:rsidRPr="00EA7C0B">
        <w:rPr>
          <w:rFonts w:ascii="Times New Roman" w:hAnsi="Times New Roman" w:cs="Times New Roman"/>
          <w:b/>
          <w:noProof/>
          <w:color w:val="0000FF"/>
          <w:lang w:eastAsia="fr-FR"/>
        </w:rPr>
        <w:t xml:space="preserve"> B</w:t>
      </w:r>
      <w:r w:rsidR="00EA7C0B" w:rsidRPr="00EA7C0B">
        <w:rPr>
          <w:rFonts w:ascii="Times New Roman" w:hAnsi="Times New Roman" w:cs="Times New Roman"/>
          <w:b/>
          <w:noProof/>
          <w:color w:val="0000FF"/>
          <w:lang w:eastAsia="fr-FR"/>
        </w:rPr>
        <w:t xml:space="preserve">ibliographiques </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Greenberg SM, Ziai WC, Cordonnier C, et al.</w:t>
      </w:r>
      <w:r w:rsidRPr="00FA0BF1">
        <w:rPr>
          <w:lang w:val="en-US"/>
        </w:rPr>
        <w:t xml:space="preserve"> 2022 Guideline for the Management of Patients WithSpontaneousIntracerebralHemorrhage: A Guideline From the American Heart Association/American Stroke Association. </w:t>
      </w:r>
      <w:r w:rsidRPr="00BA3F68">
        <w:rPr>
          <w:rStyle w:val="Accentuation"/>
          <w:rFonts w:eastAsiaTheme="majorEastAsia"/>
        </w:rPr>
        <w:t>Stroke</w:t>
      </w:r>
      <w:r w:rsidRPr="00BA3F68">
        <w:t>. 2022 ;53(7): e282–e361.</w:t>
      </w:r>
    </w:p>
    <w:p w:rsidR="00462A46" w:rsidRPr="00BA3F68" w:rsidRDefault="00462A46" w:rsidP="00462A46">
      <w:pPr>
        <w:pStyle w:val="NormalWeb"/>
        <w:numPr>
          <w:ilvl w:val="0"/>
          <w:numId w:val="13"/>
        </w:numPr>
        <w:spacing w:line="360" w:lineRule="auto"/>
        <w:jc w:val="both"/>
      </w:pPr>
      <w:r w:rsidRPr="00BA3F68">
        <w:rPr>
          <w:rStyle w:val="lev"/>
          <w:rFonts w:eastAsiaTheme="majorEastAsia"/>
          <w:b w:val="0"/>
          <w:bCs w:val="0"/>
        </w:rPr>
        <w:t>Shoamanesh A, Lindsay MP, Castellucci LA, et al.</w:t>
      </w:r>
      <w:r w:rsidRPr="00BA3F68">
        <w:t xml:space="preserve"> </w:t>
      </w:r>
      <w:r w:rsidRPr="00FA0BF1">
        <w:rPr>
          <w:lang w:val="en-US"/>
        </w:rPr>
        <w:t xml:space="preserve">Canadian Stroke Best Practice Recommendations: Management of SpontaneousIntracerebralHemorrhage, 7th Edition Update 2020. </w:t>
      </w:r>
      <w:r w:rsidRPr="00BA3F68">
        <w:rPr>
          <w:rStyle w:val="Accentuation"/>
          <w:rFonts w:eastAsiaTheme="majorEastAsia"/>
        </w:rPr>
        <w:t>Int J Stroke</w:t>
      </w:r>
      <w:r w:rsidRPr="00BA3F68">
        <w:t>. 2020;15(8):844–55.</w:t>
      </w:r>
    </w:p>
    <w:p w:rsidR="00462A46" w:rsidRPr="00BA3F68" w:rsidRDefault="00BA3F68" w:rsidP="00462A46">
      <w:pPr>
        <w:pStyle w:val="NormalWeb"/>
        <w:numPr>
          <w:ilvl w:val="0"/>
          <w:numId w:val="13"/>
        </w:numPr>
        <w:spacing w:line="360" w:lineRule="auto"/>
        <w:jc w:val="both"/>
      </w:pPr>
      <w:r w:rsidRPr="00FA0BF1">
        <w:rPr>
          <w:rStyle w:val="lev"/>
          <w:rFonts w:eastAsiaTheme="majorEastAsia"/>
          <w:b w:val="0"/>
          <w:bCs w:val="0"/>
          <w:lang w:val="en-US"/>
        </w:rPr>
        <w:t>V</w:t>
      </w:r>
      <w:r w:rsidR="00462A46" w:rsidRPr="00FA0BF1">
        <w:rPr>
          <w:rStyle w:val="lev"/>
          <w:rFonts w:eastAsiaTheme="majorEastAsia"/>
          <w:b w:val="0"/>
          <w:bCs w:val="0"/>
          <w:lang w:val="en-US"/>
        </w:rPr>
        <w:t>an Asch CJ, Luitse MJ, Rinkel GJ, van der Tweel I, Algra A, Klijn CJ.</w:t>
      </w:r>
      <w:r w:rsidR="00462A46" w:rsidRPr="00FA0BF1">
        <w:rPr>
          <w:lang w:val="en-US"/>
        </w:rPr>
        <w:t xml:space="preserve"> Incidence, case fatality, and functionaloutcome of intracerebralhaemorrhage over time, according to age, sex, and ethnicorigin:asystematicreview and meta-analysis. </w:t>
      </w:r>
      <w:r w:rsidR="00462A46" w:rsidRPr="00BA3F68">
        <w:rPr>
          <w:rStyle w:val="Accentuation"/>
          <w:rFonts w:eastAsiaTheme="majorEastAsia"/>
        </w:rPr>
        <w:t>Stroke</w:t>
      </w:r>
      <w:r w:rsidR="00462A46" w:rsidRPr="00BA3F68">
        <w:t>. 2010;41(11):2391–5.</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Feigin VL, Norrving B, Mensah GA.</w:t>
      </w:r>
      <w:r w:rsidRPr="00FA0BF1">
        <w:rPr>
          <w:lang w:val="en-US"/>
        </w:rPr>
        <w:t xml:space="preserve"> Global burden of stroke. </w:t>
      </w:r>
      <w:r w:rsidRPr="00FA0BF1">
        <w:rPr>
          <w:rStyle w:val="Accentuation"/>
          <w:rFonts w:eastAsiaTheme="majorEastAsia"/>
          <w:lang w:val="en-US"/>
        </w:rPr>
        <w:t>CircRes</w:t>
      </w:r>
      <w:r w:rsidRPr="00FA0BF1">
        <w:rPr>
          <w:lang w:val="en-US"/>
        </w:rPr>
        <w:t xml:space="preserve">. </w:t>
      </w:r>
      <w:r w:rsidRPr="00BA3F68">
        <w:t>2017;120(3):439–48.</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Krishnamurthi RV, Moran AE, Feigin VL, et al.</w:t>
      </w:r>
      <w:r w:rsidRPr="00FA0BF1">
        <w:rPr>
          <w:lang w:val="en-US"/>
        </w:rPr>
        <w:t xml:space="preserve"> Stroke prevalence, mortality and disability-adjusted life years in low- and middle-incomecountries: Global Burden of DiseaseStudy 2016. </w:t>
      </w:r>
      <w:r w:rsidRPr="00BA3F68">
        <w:rPr>
          <w:rStyle w:val="Accentuation"/>
          <w:rFonts w:eastAsiaTheme="majorEastAsia"/>
        </w:rPr>
        <w:t>Lancet Neurol</w:t>
      </w:r>
      <w:r w:rsidRPr="00BA3F68">
        <w:t>. 2019;18(5):402–14.</w:t>
      </w:r>
    </w:p>
    <w:p w:rsidR="00462A46" w:rsidRPr="00BA3F68" w:rsidRDefault="00462A46" w:rsidP="00462A46">
      <w:pPr>
        <w:pStyle w:val="NormalWeb"/>
        <w:numPr>
          <w:ilvl w:val="0"/>
          <w:numId w:val="13"/>
        </w:numPr>
        <w:spacing w:line="360" w:lineRule="auto"/>
        <w:jc w:val="both"/>
      </w:pPr>
      <w:r w:rsidRPr="00BA3F68">
        <w:rPr>
          <w:rStyle w:val="lev"/>
          <w:rFonts w:eastAsiaTheme="majorEastAsia"/>
          <w:b w:val="0"/>
          <w:bCs w:val="0"/>
        </w:rPr>
        <w:t>Béjot Y.</w:t>
      </w:r>
      <w:r w:rsidRPr="00BA3F68">
        <w:t xml:space="preserve"> Épidémiologie des hémorragies cérébrales spontanées : évolutions depuis 40 ans. </w:t>
      </w:r>
      <w:r w:rsidRPr="00BA3F68">
        <w:rPr>
          <w:rStyle w:val="Accentuation"/>
          <w:rFonts w:eastAsiaTheme="majorEastAsia"/>
        </w:rPr>
        <w:t>Bull AcadNatl Med</w:t>
      </w:r>
      <w:r w:rsidRPr="00BA3F68">
        <w:t>. 2025;209(6):819–26.</w:t>
      </w:r>
    </w:p>
    <w:p w:rsidR="00462A46" w:rsidRPr="00BA3F68" w:rsidRDefault="00462A46" w:rsidP="00462A46">
      <w:pPr>
        <w:pStyle w:val="NormalWeb"/>
        <w:numPr>
          <w:ilvl w:val="0"/>
          <w:numId w:val="13"/>
        </w:numPr>
        <w:spacing w:line="360" w:lineRule="auto"/>
        <w:jc w:val="both"/>
      </w:pPr>
      <w:r w:rsidRPr="00BA3F68">
        <w:rPr>
          <w:rStyle w:val="lev"/>
          <w:rFonts w:eastAsiaTheme="majorEastAsia"/>
          <w:b w:val="0"/>
          <w:bCs w:val="0"/>
        </w:rPr>
        <w:t>Owolabi MO, Gebregziabher M, Akinyemi R, et al.</w:t>
      </w:r>
      <w:r w:rsidRPr="00BA3F68">
        <w:t xml:space="preserve"> </w:t>
      </w:r>
      <w:r w:rsidRPr="00FA0BF1">
        <w:rPr>
          <w:lang w:val="en-US"/>
        </w:rPr>
        <w:t xml:space="preserve">The burden of stroke in Africa:aglance at the present and a glimpseinto the future. </w:t>
      </w:r>
      <w:r w:rsidRPr="00BA3F68">
        <w:rPr>
          <w:rStyle w:val="Accentuation"/>
          <w:rFonts w:eastAsiaTheme="majorEastAsia"/>
        </w:rPr>
        <w:t>Lancet Neurol</w:t>
      </w:r>
      <w:r w:rsidRPr="00BA3F68">
        <w:t>. 2018;17(3):120–8.</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Razafindrakoto L, Rajaobelina K, Randrianarisoa L, et al.</w:t>
      </w:r>
      <w:r w:rsidRPr="00FA0BF1">
        <w:rPr>
          <w:lang w:val="en-US"/>
        </w:rPr>
        <w:t xml:space="preserve">Epidemiological and clinical profile of stroke patients in Madagascar: a hospital-basedstudy. </w:t>
      </w:r>
      <w:r w:rsidRPr="00BA3F68">
        <w:rPr>
          <w:rStyle w:val="Accentuation"/>
          <w:rFonts w:eastAsiaTheme="majorEastAsia"/>
        </w:rPr>
        <w:t>Pan Afr Med J</w:t>
      </w:r>
      <w:r w:rsidRPr="00BA3F68">
        <w:t>. 2020;37:145.</w:t>
      </w:r>
    </w:p>
    <w:p w:rsidR="00462A46" w:rsidRPr="00FA0BF1" w:rsidRDefault="00462A46" w:rsidP="00462A46">
      <w:pPr>
        <w:pStyle w:val="NormalWeb"/>
        <w:numPr>
          <w:ilvl w:val="0"/>
          <w:numId w:val="13"/>
        </w:numPr>
        <w:spacing w:line="360" w:lineRule="auto"/>
        <w:jc w:val="both"/>
        <w:rPr>
          <w:lang w:val="en-US"/>
        </w:rPr>
      </w:pPr>
      <w:r w:rsidRPr="00FA0BF1">
        <w:rPr>
          <w:rStyle w:val="lev"/>
          <w:rFonts w:eastAsiaTheme="majorEastAsia"/>
          <w:b w:val="0"/>
          <w:bCs w:val="0"/>
          <w:lang w:val="en-US"/>
        </w:rPr>
        <w:t>Qureshi AI, Tuhrim S, Broderick JP, Batjer HH, Hondo H, Hanley DF.</w:t>
      </w:r>
      <w:r w:rsidRPr="00FA0BF1">
        <w:rPr>
          <w:lang w:val="en-US"/>
        </w:rPr>
        <w:t xml:space="preserve">Spontaneousintracerebralhemorrhage. </w:t>
      </w:r>
      <w:r w:rsidRPr="00FA0BF1">
        <w:rPr>
          <w:rStyle w:val="Accentuation"/>
          <w:rFonts w:eastAsiaTheme="majorEastAsia"/>
          <w:lang w:val="en-US"/>
        </w:rPr>
        <w:t>N Engl J Med</w:t>
      </w:r>
      <w:r w:rsidRPr="00FA0BF1">
        <w:rPr>
          <w:lang w:val="en-US"/>
        </w:rPr>
        <w:t>. 2001;344(19):1450–60.</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Gebel JM Jr, Brott TG, Khoury J, et al.</w:t>
      </w:r>
      <w:r w:rsidRPr="00FA0BF1">
        <w:rPr>
          <w:lang w:val="en-US"/>
        </w:rPr>
        <w:t xml:space="preserve">Sexdifferences in spontaneousintracerebralhemorrhage. </w:t>
      </w:r>
      <w:r w:rsidRPr="00BA3F68">
        <w:rPr>
          <w:rStyle w:val="Accentuation"/>
          <w:rFonts w:eastAsiaTheme="majorEastAsia"/>
        </w:rPr>
        <w:t>Stroke</w:t>
      </w:r>
      <w:r w:rsidRPr="00BA3F68">
        <w:t>. 2002;33(5):1183–8.</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Ariesen MJ, Claus SP, Rinkel GJ, Algra A.</w:t>
      </w:r>
      <w:r w:rsidRPr="00FA0BF1">
        <w:rPr>
          <w:lang w:val="en-US"/>
        </w:rPr>
        <w:t xml:space="preserve"> Risk factors for intracerebralhemorrhage in the generalpopulation:asystematicreview. </w:t>
      </w:r>
      <w:r w:rsidRPr="00BA3F68">
        <w:rPr>
          <w:rStyle w:val="Accentuation"/>
          <w:rFonts w:eastAsiaTheme="majorEastAsia"/>
        </w:rPr>
        <w:t>Stroke</w:t>
      </w:r>
      <w:r w:rsidRPr="00BA3F68">
        <w:t>. 2003;34(8):2060–5.</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Hemphill JC 3rd, Greenberg SM, Anderson CS, et al.</w:t>
      </w:r>
      <w:r w:rsidRPr="00FA0BF1">
        <w:rPr>
          <w:lang w:val="en-US"/>
        </w:rPr>
        <w:t xml:space="preserve"> Guidelines for the management of spontaneousintracerebralhemorrhage:a guideline for healthcareprofessionalsfrom </w:t>
      </w:r>
      <w:r w:rsidRPr="00FA0BF1">
        <w:rPr>
          <w:lang w:val="en-US"/>
        </w:rPr>
        <w:lastRenderedPageBreak/>
        <w:t xml:space="preserve">the American Heart Association/American Stroke Association. </w:t>
      </w:r>
      <w:r w:rsidRPr="00BA3F68">
        <w:rPr>
          <w:rStyle w:val="Accentuation"/>
          <w:rFonts w:eastAsiaTheme="majorEastAsia"/>
        </w:rPr>
        <w:t>Stroke</w:t>
      </w:r>
      <w:r w:rsidRPr="00BA3F68">
        <w:t>. 2015;46(7):2032–60.</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Steiner T, Al-Shahi Salman R, Beer R, et al.</w:t>
      </w:r>
      <w:r w:rsidRPr="00FA0BF1">
        <w:rPr>
          <w:lang w:val="en-US"/>
        </w:rPr>
        <w:t xml:space="preserve">European Stroke Organisation (ESO) guidelines for the management of spontaneousintracerebralhemorrhage. </w:t>
      </w:r>
      <w:r w:rsidRPr="00BA3F68">
        <w:rPr>
          <w:rStyle w:val="Accentuation"/>
          <w:rFonts w:eastAsiaTheme="majorEastAsia"/>
        </w:rPr>
        <w:t>Int J Stroke</w:t>
      </w:r>
      <w:r w:rsidRPr="00BA3F68">
        <w:t>. 2014;9(7):840–55.</w:t>
      </w:r>
    </w:p>
    <w:p w:rsidR="00462A46" w:rsidRPr="00BA3F68" w:rsidRDefault="00462A46" w:rsidP="00462A46">
      <w:pPr>
        <w:pStyle w:val="NormalWeb"/>
        <w:numPr>
          <w:ilvl w:val="0"/>
          <w:numId w:val="13"/>
        </w:numPr>
        <w:spacing w:line="360" w:lineRule="auto"/>
        <w:jc w:val="both"/>
      </w:pPr>
      <w:r w:rsidRPr="00BA3F68">
        <w:rPr>
          <w:rStyle w:val="lev"/>
          <w:rFonts w:eastAsiaTheme="majorEastAsia"/>
          <w:b w:val="0"/>
          <w:bCs w:val="0"/>
        </w:rPr>
        <w:t>Mendes HF, Mesquita CB, Silva LS, et al.</w:t>
      </w:r>
      <w:r w:rsidRPr="00BA3F68">
        <w:t xml:space="preserve">Role of angiography in non-traumaticintracranialhemorrhage: diagnostic yield and clinical impact. </w:t>
      </w:r>
      <w:r w:rsidRPr="00BA3F68">
        <w:rPr>
          <w:rStyle w:val="Accentuation"/>
          <w:rFonts w:eastAsiaTheme="majorEastAsia"/>
        </w:rPr>
        <w:t>NeurosurgRev</w:t>
      </w:r>
      <w:r w:rsidRPr="00BA3F68">
        <w:t>. 2020;43(6):1519–28.</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Pantoni L.</w:t>
      </w:r>
      <w:r w:rsidRPr="00FA0BF1">
        <w:rPr>
          <w:lang w:val="en-US"/>
        </w:rPr>
        <w:t xml:space="preserve">Cerebralsmallvesseldisease:frompathogenesis and clinicalcharacteristics to therapeutic challenges. </w:t>
      </w:r>
      <w:r w:rsidRPr="00BA3F68">
        <w:rPr>
          <w:rStyle w:val="Accentuation"/>
          <w:rFonts w:eastAsiaTheme="majorEastAsia"/>
        </w:rPr>
        <w:t>Lancet Neurol</w:t>
      </w:r>
      <w:r w:rsidRPr="00BA3F68">
        <w:t>. 2010;9(7):689–701.</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Ullman JS, Tirschwell DL.</w:t>
      </w:r>
      <w:r w:rsidRPr="00FA0BF1">
        <w:rPr>
          <w:lang w:val="en-US"/>
        </w:rPr>
        <w:t xml:space="preserve">Prognosisafterintracerebralhemorrhage. </w:t>
      </w:r>
      <w:r w:rsidRPr="00FA0BF1">
        <w:rPr>
          <w:rStyle w:val="Accentuation"/>
          <w:rFonts w:eastAsiaTheme="majorEastAsia"/>
          <w:lang w:val="en-US"/>
        </w:rPr>
        <w:t>CurrOpinNeurol</w:t>
      </w:r>
      <w:r w:rsidRPr="00FA0BF1">
        <w:rPr>
          <w:lang w:val="en-US"/>
        </w:rPr>
        <w:t xml:space="preserve">. </w:t>
      </w:r>
      <w:r w:rsidRPr="00BA3F68">
        <w:t>2016;29(1):33–40.</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Cho DY, Wang YC, Liu HM, et al.</w:t>
      </w:r>
      <w:r w:rsidRPr="00FA0BF1">
        <w:rPr>
          <w:lang w:val="en-US"/>
        </w:rPr>
        <w:t xml:space="preserve">Surgicaltreatment of spontaneousintracerebralhematoma:outcomes in a resource-limited setting. </w:t>
      </w:r>
      <w:r w:rsidRPr="00BA3F68">
        <w:rPr>
          <w:rStyle w:val="Accentuation"/>
          <w:rFonts w:eastAsiaTheme="majorEastAsia"/>
        </w:rPr>
        <w:t>World Neurosurg</w:t>
      </w:r>
      <w:r w:rsidRPr="00BA3F68">
        <w:t>. 2017;101:502–9.</w:t>
      </w:r>
    </w:p>
    <w:p w:rsidR="00462A46" w:rsidRPr="00BA3F68" w:rsidRDefault="00462A46" w:rsidP="00462A46">
      <w:pPr>
        <w:pStyle w:val="NormalWeb"/>
        <w:numPr>
          <w:ilvl w:val="0"/>
          <w:numId w:val="13"/>
        </w:numPr>
        <w:spacing w:line="360" w:lineRule="auto"/>
        <w:jc w:val="both"/>
      </w:pPr>
      <w:r w:rsidRPr="00FA0BF1">
        <w:rPr>
          <w:rStyle w:val="lev"/>
          <w:rFonts w:eastAsiaTheme="majorEastAsia"/>
          <w:b w:val="0"/>
          <w:bCs w:val="0"/>
          <w:lang w:val="en-US"/>
        </w:rPr>
        <w:t>Hankey GJ.</w:t>
      </w:r>
      <w:r w:rsidRPr="00FA0BF1">
        <w:rPr>
          <w:lang w:val="en-US"/>
        </w:rPr>
        <w:t xml:space="preserve"> Stroke. </w:t>
      </w:r>
      <w:r w:rsidRPr="00FA0BF1">
        <w:rPr>
          <w:rStyle w:val="Accentuation"/>
          <w:rFonts w:eastAsiaTheme="majorEastAsia"/>
          <w:lang w:val="en-US"/>
        </w:rPr>
        <w:t>Lancet Neurol</w:t>
      </w:r>
      <w:r w:rsidRPr="00FA0BF1">
        <w:rPr>
          <w:lang w:val="en-US"/>
        </w:rPr>
        <w:t xml:space="preserve">. </w:t>
      </w:r>
      <w:r w:rsidRPr="00BA3F68">
        <w:t>2017;16(3):187–98.</w:t>
      </w:r>
    </w:p>
    <w:p w:rsidR="00B9732E" w:rsidRDefault="00B9732E" w:rsidP="00B9732E">
      <w:pPr>
        <w:spacing w:line="360" w:lineRule="auto"/>
        <w:jc w:val="both"/>
        <w:rPr>
          <w:rFonts w:ascii="Times New Roman" w:hAnsi="Times New Roman" w:cs="Times New Roman"/>
          <w:b/>
          <w:bCs/>
        </w:rPr>
      </w:pPr>
      <w:r w:rsidRPr="0099431A">
        <w:rPr>
          <w:rFonts w:ascii="Times New Roman" w:hAnsi="Times New Roman" w:cs="Times New Roman"/>
          <w:b/>
          <w:bCs/>
        </w:rPr>
        <w:t xml:space="preserve">TABLEAUX </w:t>
      </w:r>
    </w:p>
    <w:p w:rsidR="0099431A" w:rsidRPr="0099431A" w:rsidRDefault="0099431A" w:rsidP="00B9732E">
      <w:pPr>
        <w:spacing w:line="360" w:lineRule="auto"/>
        <w:jc w:val="both"/>
        <w:rPr>
          <w:rFonts w:ascii="Times New Roman" w:hAnsi="Times New Roman" w:cs="Times New Roman"/>
          <w:b/>
          <w:bCs/>
        </w:rPr>
      </w:pPr>
      <w:r w:rsidRPr="0099431A">
        <w:rPr>
          <w:rFonts w:ascii="Times New Roman" w:hAnsi="Times New Roman" w:cs="Times New Roman"/>
          <w:b/>
          <w:bCs/>
        </w:rPr>
        <w:t>Tableau 1 : Tableau univarié — Profil démographique des patients (N=125)</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686"/>
        <w:gridCol w:w="2551"/>
        <w:gridCol w:w="2552"/>
      </w:tblGrid>
      <w:tr w:rsidR="00B9732E" w:rsidRPr="00B9732E" w:rsidTr="00B9732E">
        <w:trPr>
          <w:tblHeader/>
          <w:tblCellSpacing w:w="15" w:type="dxa"/>
        </w:trPr>
        <w:tc>
          <w:tcPr>
            <w:tcW w:w="3641" w:type="dxa"/>
            <w:tcBorders>
              <w:top w:val="single" w:sz="4" w:space="0" w:color="auto"/>
              <w:bottom w:val="single" w:sz="4" w:space="0" w:color="auto"/>
            </w:tcBorders>
            <w:vAlign w:val="center"/>
            <w:hideMark/>
          </w:tcPr>
          <w:p w:rsidR="00B9732E" w:rsidRPr="00B9732E" w:rsidRDefault="00B9732E" w:rsidP="00B9732E">
            <w:pPr>
              <w:spacing w:after="0" w:line="240" w:lineRule="auto"/>
              <w:rPr>
                <w:rFonts w:ascii="Times New Roman" w:eastAsia="Times New Roman" w:hAnsi="Times New Roman" w:cs="Times New Roman"/>
                <w:b/>
                <w:bCs/>
                <w:kern w:val="0"/>
                <w:lang w:eastAsia="fr-FR"/>
              </w:rPr>
            </w:pPr>
            <w:r w:rsidRPr="00B9732E">
              <w:rPr>
                <w:rFonts w:ascii="Times New Roman" w:eastAsia="Times New Roman" w:hAnsi="Times New Roman" w:cs="Times New Roman"/>
                <w:b/>
                <w:bCs/>
                <w:kern w:val="0"/>
                <w:lang w:eastAsia="fr-FR"/>
              </w:rPr>
              <w:t>Caractéristiques</w:t>
            </w:r>
          </w:p>
        </w:tc>
        <w:tc>
          <w:tcPr>
            <w:tcW w:w="2521" w:type="dxa"/>
            <w:tcBorders>
              <w:top w:val="single" w:sz="4" w:space="0" w:color="auto"/>
              <w:bottom w:val="single" w:sz="4" w:space="0" w:color="auto"/>
            </w:tcBorders>
            <w:vAlign w:val="center"/>
            <w:hideMark/>
          </w:tcPr>
          <w:p w:rsidR="00B9732E" w:rsidRPr="00B9732E" w:rsidRDefault="00B9732E" w:rsidP="00B9732E">
            <w:pPr>
              <w:spacing w:after="0" w:line="240" w:lineRule="auto"/>
              <w:jc w:val="center"/>
              <w:rPr>
                <w:rFonts w:ascii="Times New Roman" w:eastAsia="Times New Roman" w:hAnsi="Times New Roman" w:cs="Times New Roman"/>
                <w:b/>
                <w:bCs/>
                <w:kern w:val="0"/>
                <w:lang w:eastAsia="fr-FR"/>
              </w:rPr>
            </w:pPr>
            <w:r w:rsidRPr="00B9732E">
              <w:rPr>
                <w:rFonts w:ascii="Times New Roman" w:eastAsia="Times New Roman" w:hAnsi="Times New Roman" w:cs="Times New Roman"/>
                <w:b/>
                <w:bCs/>
                <w:kern w:val="0"/>
                <w:lang w:eastAsia="fr-FR"/>
              </w:rPr>
              <w:t>Effectif (N)</w:t>
            </w:r>
          </w:p>
        </w:tc>
        <w:tc>
          <w:tcPr>
            <w:tcW w:w="2507" w:type="dxa"/>
            <w:tcBorders>
              <w:top w:val="single" w:sz="4" w:space="0" w:color="auto"/>
              <w:bottom w:val="single" w:sz="4" w:space="0" w:color="auto"/>
            </w:tcBorders>
            <w:vAlign w:val="center"/>
            <w:hideMark/>
          </w:tcPr>
          <w:p w:rsidR="00B9732E" w:rsidRPr="00B9732E" w:rsidRDefault="00B9732E" w:rsidP="00B9732E">
            <w:pPr>
              <w:spacing w:after="0" w:line="240" w:lineRule="auto"/>
              <w:jc w:val="center"/>
              <w:rPr>
                <w:rFonts w:ascii="Times New Roman" w:eastAsia="Times New Roman" w:hAnsi="Times New Roman" w:cs="Times New Roman"/>
                <w:b/>
                <w:bCs/>
                <w:kern w:val="0"/>
                <w:lang w:eastAsia="fr-FR"/>
              </w:rPr>
            </w:pPr>
            <w:r w:rsidRPr="00B9732E">
              <w:rPr>
                <w:rFonts w:ascii="Times New Roman" w:eastAsia="Times New Roman" w:hAnsi="Times New Roman" w:cs="Times New Roman"/>
                <w:b/>
                <w:bCs/>
                <w:kern w:val="0"/>
                <w:lang w:eastAsia="fr-FR"/>
              </w:rPr>
              <w:t>Pourcentage (%)</w:t>
            </w:r>
          </w:p>
        </w:tc>
      </w:tr>
      <w:tr w:rsidR="00B9732E" w:rsidRPr="00B9732E" w:rsidTr="00B9732E">
        <w:trPr>
          <w:tblCellSpacing w:w="15" w:type="dxa"/>
        </w:trPr>
        <w:tc>
          <w:tcPr>
            <w:tcW w:w="3641" w:type="dxa"/>
            <w:vAlign w:val="center"/>
            <w:hideMark/>
          </w:tcPr>
          <w:p w:rsidR="00B9732E" w:rsidRPr="0099431A" w:rsidRDefault="00B9732E" w:rsidP="00B9732E">
            <w:pPr>
              <w:spacing w:after="0" w:line="240" w:lineRule="auto"/>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Âge moyen (± SD)</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44,0 ± 13,4 ans</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w:t>
            </w:r>
          </w:p>
        </w:tc>
      </w:tr>
      <w:tr w:rsidR="00B9732E" w:rsidRPr="00B9732E" w:rsidTr="00B9732E">
        <w:trPr>
          <w:tblCellSpacing w:w="15" w:type="dxa"/>
        </w:trPr>
        <w:tc>
          <w:tcPr>
            <w:tcW w:w="3641" w:type="dxa"/>
            <w:vAlign w:val="center"/>
            <w:hideMark/>
          </w:tcPr>
          <w:p w:rsidR="00B9732E" w:rsidRPr="0099431A" w:rsidRDefault="0099431A" w:rsidP="00B9732E">
            <w:pPr>
              <w:spacing w:after="0" w:line="240" w:lineRule="auto"/>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Genre</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sz w:val="20"/>
                <w:szCs w:val="20"/>
                <w:lang w:eastAsia="fr-FR"/>
              </w:rPr>
            </w:pP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Homme</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67</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53,6</w:t>
            </w: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Femme</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58</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46,4</w:t>
            </w:r>
          </w:p>
        </w:tc>
      </w:tr>
      <w:tr w:rsidR="00B9732E" w:rsidRPr="00B9732E" w:rsidTr="00B9732E">
        <w:trPr>
          <w:tblCellSpacing w:w="15" w:type="dxa"/>
        </w:trPr>
        <w:tc>
          <w:tcPr>
            <w:tcW w:w="3641" w:type="dxa"/>
            <w:vAlign w:val="center"/>
            <w:hideMark/>
          </w:tcPr>
          <w:p w:rsidR="00B9732E" w:rsidRPr="0099431A" w:rsidRDefault="00B9732E" w:rsidP="00B9732E">
            <w:pPr>
              <w:spacing w:after="0" w:line="240" w:lineRule="auto"/>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Ethnie</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sz w:val="20"/>
                <w:szCs w:val="20"/>
                <w:lang w:eastAsia="fr-FR"/>
              </w:rPr>
            </w:pP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Sakalava</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67</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53,6</w:t>
            </w: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Tsimihety</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25</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20</w:t>
            </w: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Merina</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16</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12,8</w:t>
            </w: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Autres</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17</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13,6</w:t>
            </w:r>
          </w:p>
        </w:tc>
      </w:tr>
      <w:tr w:rsidR="00B9732E" w:rsidRPr="00B9732E" w:rsidTr="00B9732E">
        <w:trPr>
          <w:tblCellSpacing w:w="15" w:type="dxa"/>
        </w:trPr>
        <w:tc>
          <w:tcPr>
            <w:tcW w:w="3641" w:type="dxa"/>
            <w:vAlign w:val="center"/>
            <w:hideMark/>
          </w:tcPr>
          <w:p w:rsidR="00B9732E" w:rsidRPr="0099431A" w:rsidRDefault="00B9732E" w:rsidP="00B9732E">
            <w:pPr>
              <w:spacing w:after="0" w:line="240" w:lineRule="auto"/>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Niveau d’étude</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sz w:val="20"/>
                <w:szCs w:val="20"/>
                <w:lang w:eastAsia="fr-FR"/>
              </w:rPr>
            </w:pP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Universitaire</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58</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46,4</w:t>
            </w: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Secondaire</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32</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25,6</w:t>
            </w: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Primaire</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34</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27,2</w:t>
            </w:r>
          </w:p>
        </w:tc>
      </w:tr>
      <w:tr w:rsidR="00B9732E" w:rsidRPr="00B9732E" w:rsidTr="00B9732E">
        <w:trPr>
          <w:tblCellSpacing w:w="15" w:type="dxa"/>
        </w:trPr>
        <w:tc>
          <w:tcPr>
            <w:tcW w:w="3641" w:type="dxa"/>
            <w:vAlign w:val="center"/>
            <w:hideMark/>
          </w:tcPr>
          <w:p w:rsidR="00B9732E" w:rsidRPr="0099431A" w:rsidRDefault="00B9732E" w:rsidP="00B9732E">
            <w:pPr>
              <w:spacing w:after="0" w:line="240" w:lineRule="auto"/>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Situation matrimoniale</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sz w:val="20"/>
                <w:szCs w:val="20"/>
                <w:lang w:eastAsia="fr-FR"/>
              </w:rPr>
            </w:pP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Marié</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76</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61</w:t>
            </w: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Célibataire</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49</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39</w:t>
            </w:r>
          </w:p>
        </w:tc>
      </w:tr>
      <w:tr w:rsidR="00B9732E" w:rsidRPr="00B9732E" w:rsidTr="00B9732E">
        <w:trPr>
          <w:tblCellSpacing w:w="15" w:type="dxa"/>
        </w:trPr>
        <w:tc>
          <w:tcPr>
            <w:tcW w:w="3641" w:type="dxa"/>
            <w:vAlign w:val="center"/>
            <w:hideMark/>
          </w:tcPr>
          <w:p w:rsidR="00B9732E" w:rsidRPr="0099431A" w:rsidRDefault="00B9732E" w:rsidP="00B9732E">
            <w:pPr>
              <w:spacing w:after="0" w:line="240" w:lineRule="auto"/>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lastRenderedPageBreak/>
              <w:t>Provenance</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sz w:val="20"/>
                <w:szCs w:val="20"/>
                <w:lang w:eastAsia="fr-FR"/>
              </w:rPr>
            </w:pP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Mahajanga</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67</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53,6</w:t>
            </w:r>
          </w:p>
        </w:tc>
      </w:tr>
      <w:tr w:rsidR="00B9732E" w:rsidRPr="00B9732E" w:rsidTr="00B9732E">
        <w:trPr>
          <w:tblCellSpacing w:w="15" w:type="dxa"/>
        </w:trPr>
        <w:tc>
          <w:tcPr>
            <w:tcW w:w="3641" w:type="dxa"/>
            <w:vAlign w:val="center"/>
            <w:hideMark/>
          </w:tcPr>
          <w:p w:rsidR="00B9732E" w:rsidRPr="00B9732E" w:rsidRDefault="00B9732E" w:rsidP="0099431A">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Autres communes</w:t>
            </w:r>
          </w:p>
        </w:tc>
        <w:tc>
          <w:tcPr>
            <w:tcW w:w="2521"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58</w:t>
            </w:r>
          </w:p>
        </w:tc>
        <w:tc>
          <w:tcPr>
            <w:tcW w:w="2507" w:type="dxa"/>
            <w:vAlign w:val="center"/>
            <w:hideMark/>
          </w:tcPr>
          <w:p w:rsidR="00B9732E" w:rsidRPr="00B9732E" w:rsidRDefault="00B9732E" w:rsidP="00B9732E">
            <w:pPr>
              <w:spacing w:after="0" w:line="240" w:lineRule="auto"/>
              <w:jc w:val="center"/>
              <w:rPr>
                <w:rFonts w:ascii="Times New Roman" w:eastAsia="Times New Roman" w:hAnsi="Times New Roman" w:cs="Times New Roman"/>
                <w:kern w:val="0"/>
                <w:lang w:eastAsia="fr-FR"/>
              </w:rPr>
            </w:pPr>
            <w:r w:rsidRPr="00B9732E">
              <w:rPr>
                <w:rFonts w:ascii="Times New Roman" w:eastAsia="Times New Roman" w:hAnsi="Times New Roman" w:cs="Times New Roman"/>
                <w:kern w:val="0"/>
                <w:lang w:eastAsia="fr-FR"/>
              </w:rPr>
              <w:t>46,4</w:t>
            </w:r>
          </w:p>
        </w:tc>
      </w:tr>
    </w:tbl>
    <w:p w:rsidR="00BA3F68" w:rsidRDefault="00BA3F68" w:rsidP="00B9732E">
      <w:pPr>
        <w:spacing w:line="360" w:lineRule="auto"/>
        <w:jc w:val="both"/>
        <w:rPr>
          <w:rFonts w:ascii="Times New Roman" w:hAnsi="Times New Roman" w:cs="Times New Roman"/>
          <w:b/>
          <w:bCs/>
        </w:rPr>
      </w:pPr>
    </w:p>
    <w:p w:rsidR="00BA3F68" w:rsidRDefault="00BA3F68" w:rsidP="00B9732E">
      <w:pPr>
        <w:spacing w:line="360" w:lineRule="auto"/>
        <w:jc w:val="both"/>
        <w:rPr>
          <w:rFonts w:ascii="Times New Roman" w:hAnsi="Times New Roman" w:cs="Times New Roman"/>
          <w:b/>
          <w:bCs/>
        </w:rPr>
      </w:pPr>
    </w:p>
    <w:p w:rsidR="0099431A" w:rsidRPr="00BA3F68" w:rsidRDefault="0099431A" w:rsidP="00B9732E">
      <w:pPr>
        <w:spacing w:line="360" w:lineRule="auto"/>
        <w:jc w:val="both"/>
        <w:rPr>
          <w:rFonts w:ascii="Times New Roman" w:hAnsi="Times New Roman" w:cs="Times New Roman"/>
          <w:b/>
          <w:bCs/>
        </w:rPr>
      </w:pPr>
      <w:r w:rsidRPr="0099431A">
        <w:rPr>
          <w:rFonts w:ascii="Times New Roman" w:hAnsi="Times New Roman" w:cs="Times New Roman"/>
          <w:b/>
          <w:bCs/>
        </w:rPr>
        <w:t>Tableau 2 : Tableau bivarié — Répartition des étiologies selon le sexe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701"/>
        <w:gridCol w:w="1828"/>
        <w:gridCol w:w="1842"/>
        <w:gridCol w:w="1418"/>
      </w:tblGrid>
      <w:tr w:rsidR="0099431A" w:rsidRPr="0099431A" w:rsidTr="0099431A">
        <w:trPr>
          <w:tblHeader/>
          <w:tblCellSpacing w:w="15" w:type="dxa"/>
        </w:trPr>
        <w:tc>
          <w:tcPr>
            <w:tcW w:w="0" w:type="auto"/>
            <w:tcBorders>
              <w:top w:val="single" w:sz="4" w:space="0" w:color="auto"/>
              <w:bottom w:val="single" w:sz="4" w:space="0" w:color="auto"/>
            </w:tcBorders>
            <w:vAlign w:val="center"/>
            <w:hideMark/>
          </w:tcPr>
          <w:p w:rsidR="0099431A" w:rsidRPr="0099431A" w:rsidRDefault="0099431A" w:rsidP="0099431A">
            <w:pPr>
              <w:spacing w:after="0" w:line="360" w:lineRule="auto"/>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Étiologie</w:t>
            </w:r>
          </w:p>
        </w:tc>
        <w:tc>
          <w:tcPr>
            <w:tcW w:w="1798" w:type="dxa"/>
            <w:tcBorders>
              <w:top w:val="single" w:sz="4" w:space="0" w:color="auto"/>
              <w:bottom w:val="single" w:sz="4" w:space="0" w:color="auto"/>
            </w:tcBorders>
            <w:vAlign w:val="center"/>
            <w:hideMark/>
          </w:tcPr>
          <w:p w:rsidR="0099431A" w:rsidRPr="0099431A" w:rsidRDefault="0099431A" w:rsidP="0099431A">
            <w:pPr>
              <w:spacing w:after="0" w:line="360" w:lineRule="auto"/>
              <w:jc w:val="center"/>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Hommes (N, %)</w:t>
            </w:r>
          </w:p>
        </w:tc>
        <w:tc>
          <w:tcPr>
            <w:tcW w:w="1812" w:type="dxa"/>
            <w:tcBorders>
              <w:top w:val="single" w:sz="4" w:space="0" w:color="auto"/>
              <w:bottom w:val="single" w:sz="4" w:space="0" w:color="auto"/>
            </w:tcBorders>
            <w:vAlign w:val="center"/>
            <w:hideMark/>
          </w:tcPr>
          <w:p w:rsidR="0099431A" w:rsidRPr="0099431A" w:rsidRDefault="0099431A" w:rsidP="0099431A">
            <w:pPr>
              <w:spacing w:after="0" w:line="360" w:lineRule="auto"/>
              <w:jc w:val="center"/>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Femmes (N, %)</w:t>
            </w:r>
          </w:p>
        </w:tc>
        <w:tc>
          <w:tcPr>
            <w:tcW w:w="1373" w:type="dxa"/>
            <w:tcBorders>
              <w:top w:val="single" w:sz="4" w:space="0" w:color="auto"/>
              <w:bottom w:val="single" w:sz="4" w:space="0" w:color="auto"/>
            </w:tcBorders>
            <w:vAlign w:val="center"/>
            <w:hideMark/>
          </w:tcPr>
          <w:p w:rsidR="0099431A" w:rsidRPr="0099431A" w:rsidRDefault="0099431A" w:rsidP="0099431A">
            <w:pPr>
              <w:spacing w:after="0" w:line="360" w:lineRule="auto"/>
              <w:jc w:val="center"/>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Total (N, %)</w:t>
            </w:r>
          </w:p>
        </w:tc>
      </w:tr>
      <w:tr w:rsidR="0099431A" w:rsidRPr="0099431A" w:rsidTr="0099431A">
        <w:trPr>
          <w:tblCellSpacing w:w="15" w:type="dxa"/>
        </w:trPr>
        <w:tc>
          <w:tcPr>
            <w:tcW w:w="0" w:type="auto"/>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AVC hémorragique spontané</w:t>
            </w:r>
          </w:p>
        </w:tc>
        <w:tc>
          <w:tcPr>
            <w:tcW w:w="1798"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42 (62,7)</w:t>
            </w:r>
          </w:p>
        </w:tc>
        <w:tc>
          <w:tcPr>
            <w:tcW w:w="1812"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38 (65,5)</w:t>
            </w:r>
          </w:p>
        </w:tc>
        <w:tc>
          <w:tcPr>
            <w:tcW w:w="137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80 (64)</w:t>
            </w:r>
          </w:p>
        </w:tc>
      </w:tr>
      <w:tr w:rsidR="0099431A" w:rsidRPr="0099431A" w:rsidTr="0099431A">
        <w:trPr>
          <w:tblCellSpacing w:w="15" w:type="dxa"/>
        </w:trPr>
        <w:tc>
          <w:tcPr>
            <w:tcW w:w="0" w:type="auto"/>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Fistule artérioveineuse durale</w:t>
            </w:r>
          </w:p>
        </w:tc>
        <w:tc>
          <w:tcPr>
            <w:tcW w:w="1798"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10 (14,9)</w:t>
            </w:r>
          </w:p>
        </w:tc>
        <w:tc>
          <w:tcPr>
            <w:tcW w:w="1812"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7 (12,1)</w:t>
            </w:r>
          </w:p>
        </w:tc>
        <w:tc>
          <w:tcPr>
            <w:tcW w:w="137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17 (13,6)</w:t>
            </w:r>
          </w:p>
        </w:tc>
      </w:tr>
      <w:tr w:rsidR="0099431A" w:rsidRPr="0099431A" w:rsidTr="0099431A">
        <w:trPr>
          <w:tblCellSpacing w:w="15" w:type="dxa"/>
        </w:trPr>
        <w:tc>
          <w:tcPr>
            <w:tcW w:w="0" w:type="auto"/>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Anévrisme rompu</w:t>
            </w:r>
          </w:p>
        </w:tc>
        <w:tc>
          <w:tcPr>
            <w:tcW w:w="1798"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7 (10,4)</w:t>
            </w:r>
          </w:p>
        </w:tc>
        <w:tc>
          <w:tcPr>
            <w:tcW w:w="1812"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5 (8,6)</w:t>
            </w:r>
          </w:p>
        </w:tc>
        <w:tc>
          <w:tcPr>
            <w:tcW w:w="137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12 (9,6)</w:t>
            </w:r>
          </w:p>
        </w:tc>
      </w:tr>
      <w:tr w:rsidR="0099431A" w:rsidRPr="0099431A" w:rsidTr="0099431A">
        <w:trPr>
          <w:tblCellSpacing w:w="15" w:type="dxa"/>
        </w:trPr>
        <w:tc>
          <w:tcPr>
            <w:tcW w:w="0" w:type="auto"/>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Malformation artérioveineuse</w:t>
            </w:r>
          </w:p>
        </w:tc>
        <w:tc>
          <w:tcPr>
            <w:tcW w:w="1798"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5 (7,5)</w:t>
            </w:r>
          </w:p>
        </w:tc>
        <w:tc>
          <w:tcPr>
            <w:tcW w:w="1812"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5 (8,6)</w:t>
            </w:r>
          </w:p>
        </w:tc>
        <w:tc>
          <w:tcPr>
            <w:tcW w:w="137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10 (8)</w:t>
            </w:r>
          </w:p>
        </w:tc>
      </w:tr>
      <w:tr w:rsidR="0099431A" w:rsidRPr="0099431A" w:rsidTr="0099431A">
        <w:trPr>
          <w:tblCellSpacing w:w="15" w:type="dxa"/>
        </w:trPr>
        <w:tc>
          <w:tcPr>
            <w:tcW w:w="0" w:type="auto"/>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Angiopathie amyloïde</w:t>
            </w:r>
          </w:p>
        </w:tc>
        <w:tc>
          <w:tcPr>
            <w:tcW w:w="1798"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3 (4,5)</w:t>
            </w:r>
          </w:p>
        </w:tc>
        <w:tc>
          <w:tcPr>
            <w:tcW w:w="1812"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6 (10,3)</w:t>
            </w:r>
          </w:p>
        </w:tc>
        <w:tc>
          <w:tcPr>
            <w:tcW w:w="137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9 (7,2)</w:t>
            </w:r>
          </w:p>
        </w:tc>
      </w:tr>
      <w:tr w:rsidR="0099431A" w:rsidRPr="0099431A" w:rsidTr="0099431A">
        <w:trPr>
          <w:tblCellSpacing w:w="15" w:type="dxa"/>
        </w:trPr>
        <w:tc>
          <w:tcPr>
            <w:tcW w:w="0" w:type="auto"/>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Syndrome vasoconstriction réversible</w:t>
            </w:r>
          </w:p>
        </w:tc>
        <w:tc>
          <w:tcPr>
            <w:tcW w:w="1798"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0 (0)</w:t>
            </w:r>
          </w:p>
        </w:tc>
        <w:tc>
          <w:tcPr>
            <w:tcW w:w="1812"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3 (5,2)</w:t>
            </w:r>
          </w:p>
        </w:tc>
        <w:tc>
          <w:tcPr>
            <w:tcW w:w="137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3 (2,4)</w:t>
            </w:r>
          </w:p>
        </w:tc>
      </w:tr>
    </w:tbl>
    <w:p w:rsidR="0099431A" w:rsidRDefault="0099431A" w:rsidP="00B9732E">
      <w:pPr>
        <w:spacing w:line="360" w:lineRule="auto"/>
        <w:jc w:val="both"/>
        <w:rPr>
          <w:rFonts w:ascii="Times New Roman" w:hAnsi="Times New Roman" w:cs="Times New Roman"/>
        </w:rPr>
      </w:pPr>
    </w:p>
    <w:p w:rsidR="0099431A" w:rsidRDefault="0099431A" w:rsidP="00B9732E">
      <w:pPr>
        <w:spacing w:line="360" w:lineRule="auto"/>
        <w:jc w:val="both"/>
        <w:rPr>
          <w:rFonts w:ascii="Times New Roman" w:hAnsi="Times New Roman" w:cs="Times New Roman"/>
        </w:rPr>
      </w:pPr>
    </w:p>
    <w:p w:rsidR="0099431A" w:rsidRPr="0099431A" w:rsidRDefault="0099431A" w:rsidP="00B9732E">
      <w:pPr>
        <w:spacing w:line="360" w:lineRule="auto"/>
        <w:jc w:val="both"/>
        <w:rPr>
          <w:rFonts w:ascii="Times New Roman" w:hAnsi="Times New Roman" w:cs="Times New Roman"/>
          <w:b/>
          <w:bCs/>
        </w:rPr>
      </w:pPr>
      <w:r w:rsidRPr="0099431A">
        <w:rPr>
          <w:rFonts w:ascii="Times New Roman" w:hAnsi="Times New Roman" w:cs="Times New Roman"/>
          <w:b/>
          <w:bCs/>
        </w:rPr>
        <w:t>Tableau 3 :Localisation des hématomes selon l’âge (&lt;45 vs ≥45 ans</w:t>
      </w:r>
      <w:r>
        <w:rPr>
          <w:rFonts w:ascii="Times New Roman" w:hAnsi="Times New Roman" w:cs="Times New Roman"/>
          <w:b/>
          <w:bCs/>
        </w:rPr>
        <w:t>)</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3544"/>
        <w:gridCol w:w="1843"/>
        <w:gridCol w:w="1843"/>
        <w:gridCol w:w="1559"/>
      </w:tblGrid>
      <w:tr w:rsidR="0099431A" w:rsidRPr="0099431A" w:rsidTr="0099431A">
        <w:trPr>
          <w:tblHeader/>
          <w:tblCellSpacing w:w="15" w:type="dxa"/>
        </w:trPr>
        <w:tc>
          <w:tcPr>
            <w:tcW w:w="3499" w:type="dxa"/>
            <w:tcBorders>
              <w:top w:val="single" w:sz="4" w:space="0" w:color="auto"/>
              <w:bottom w:val="single" w:sz="4" w:space="0" w:color="auto"/>
            </w:tcBorders>
            <w:vAlign w:val="center"/>
            <w:hideMark/>
          </w:tcPr>
          <w:p w:rsidR="0099431A" w:rsidRPr="0099431A" w:rsidRDefault="0099431A" w:rsidP="0099431A">
            <w:pPr>
              <w:spacing w:after="0" w:line="360" w:lineRule="auto"/>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Localisation TDM</w:t>
            </w:r>
          </w:p>
        </w:tc>
        <w:tc>
          <w:tcPr>
            <w:tcW w:w="1813" w:type="dxa"/>
            <w:tcBorders>
              <w:top w:val="single" w:sz="4" w:space="0" w:color="auto"/>
              <w:bottom w:val="single" w:sz="4" w:space="0" w:color="auto"/>
            </w:tcBorders>
            <w:vAlign w:val="center"/>
            <w:hideMark/>
          </w:tcPr>
          <w:p w:rsidR="0099431A" w:rsidRPr="0099431A" w:rsidRDefault="0099431A" w:rsidP="0099431A">
            <w:pPr>
              <w:spacing w:after="0" w:line="360" w:lineRule="auto"/>
              <w:jc w:val="center"/>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&lt;45 ans (N, %)</w:t>
            </w:r>
          </w:p>
        </w:tc>
        <w:tc>
          <w:tcPr>
            <w:tcW w:w="1813" w:type="dxa"/>
            <w:tcBorders>
              <w:top w:val="single" w:sz="4" w:space="0" w:color="auto"/>
              <w:bottom w:val="single" w:sz="4" w:space="0" w:color="auto"/>
            </w:tcBorders>
            <w:vAlign w:val="center"/>
            <w:hideMark/>
          </w:tcPr>
          <w:p w:rsidR="0099431A" w:rsidRPr="0099431A" w:rsidRDefault="0099431A" w:rsidP="0099431A">
            <w:pPr>
              <w:spacing w:after="0" w:line="360" w:lineRule="auto"/>
              <w:jc w:val="center"/>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≥45 ans (N, %)</w:t>
            </w:r>
          </w:p>
        </w:tc>
        <w:tc>
          <w:tcPr>
            <w:tcW w:w="1514" w:type="dxa"/>
            <w:tcBorders>
              <w:top w:val="single" w:sz="4" w:space="0" w:color="auto"/>
              <w:bottom w:val="single" w:sz="4" w:space="0" w:color="auto"/>
            </w:tcBorders>
            <w:vAlign w:val="center"/>
            <w:hideMark/>
          </w:tcPr>
          <w:p w:rsidR="0099431A" w:rsidRPr="0099431A" w:rsidRDefault="0099431A" w:rsidP="0099431A">
            <w:pPr>
              <w:spacing w:after="0" w:line="360" w:lineRule="auto"/>
              <w:jc w:val="center"/>
              <w:rPr>
                <w:rFonts w:ascii="Times New Roman" w:eastAsia="Times New Roman" w:hAnsi="Times New Roman" w:cs="Times New Roman"/>
                <w:b/>
                <w:bCs/>
                <w:kern w:val="0"/>
                <w:lang w:eastAsia="fr-FR"/>
              </w:rPr>
            </w:pPr>
            <w:r w:rsidRPr="0099431A">
              <w:rPr>
                <w:rFonts w:ascii="Times New Roman" w:eastAsia="Times New Roman" w:hAnsi="Times New Roman" w:cs="Times New Roman"/>
                <w:b/>
                <w:bCs/>
                <w:kern w:val="0"/>
                <w:lang w:eastAsia="fr-FR"/>
              </w:rPr>
              <w:t>Total (N, %)</w:t>
            </w:r>
          </w:p>
        </w:tc>
      </w:tr>
      <w:tr w:rsidR="0099431A" w:rsidRPr="0099431A" w:rsidTr="0099431A">
        <w:trPr>
          <w:tblCellSpacing w:w="15" w:type="dxa"/>
        </w:trPr>
        <w:tc>
          <w:tcPr>
            <w:tcW w:w="3499" w:type="dxa"/>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Thalamique droite</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22 (35,5)</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24 (38,7)</w:t>
            </w:r>
          </w:p>
        </w:tc>
        <w:tc>
          <w:tcPr>
            <w:tcW w:w="1514"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46 (36,8)</w:t>
            </w:r>
          </w:p>
        </w:tc>
      </w:tr>
      <w:tr w:rsidR="0099431A" w:rsidRPr="0099431A" w:rsidTr="0099431A">
        <w:trPr>
          <w:tblCellSpacing w:w="15" w:type="dxa"/>
        </w:trPr>
        <w:tc>
          <w:tcPr>
            <w:tcW w:w="3499" w:type="dxa"/>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Thalamique gauche</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15 (24,2)</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19 (30,6)</w:t>
            </w:r>
          </w:p>
        </w:tc>
        <w:tc>
          <w:tcPr>
            <w:tcW w:w="1514"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34 (27,2)</w:t>
            </w:r>
          </w:p>
        </w:tc>
      </w:tr>
      <w:tr w:rsidR="0099431A" w:rsidRPr="0099431A" w:rsidTr="0099431A">
        <w:trPr>
          <w:tblCellSpacing w:w="15" w:type="dxa"/>
        </w:trPr>
        <w:tc>
          <w:tcPr>
            <w:tcW w:w="3499" w:type="dxa"/>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Hémisphère gauche</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5 (8,1)</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4 (6,5)</w:t>
            </w:r>
          </w:p>
        </w:tc>
        <w:tc>
          <w:tcPr>
            <w:tcW w:w="1514"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9 (7,2)</w:t>
            </w:r>
          </w:p>
        </w:tc>
      </w:tr>
      <w:tr w:rsidR="0099431A" w:rsidRPr="0099431A" w:rsidTr="0099431A">
        <w:trPr>
          <w:tblCellSpacing w:w="15" w:type="dxa"/>
        </w:trPr>
        <w:tc>
          <w:tcPr>
            <w:tcW w:w="3499" w:type="dxa"/>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Pariétale gauche</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4 (6,5)</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4 (6,5)</w:t>
            </w:r>
          </w:p>
        </w:tc>
        <w:tc>
          <w:tcPr>
            <w:tcW w:w="1514"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8 (6,4)</w:t>
            </w:r>
          </w:p>
        </w:tc>
      </w:tr>
      <w:tr w:rsidR="0099431A" w:rsidRPr="0099431A" w:rsidTr="0099431A">
        <w:trPr>
          <w:tblCellSpacing w:w="15" w:type="dxa"/>
        </w:trPr>
        <w:tc>
          <w:tcPr>
            <w:tcW w:w="3499" w:type="dxa"/>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Pariétale droite</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3 (4,8)</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2 (3,2)</w:t>
            </w:r>
          </w:p>
        </w:tc>
        <w:tc>
          <w:tcPr>
            <w:tcW w:w="1514"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5 (4)</w:t>
            </w:r>
          </w:p>
        </w:tc>
      </w:tr>
      <w:tr w:rsidR="0099431A" w:rsidRPr="0099431A" w:rsidTr="0099431A">
        <w:trPr>
          <w:tblCellSpacing w:w="15" w:type="dxa"/>
        </w:trPr>
        <w:tc>
          <w:tcPr>
            <w:tcW w:w="3499" w:type="dxa"/>
            <w:vAlign w:val="center"/>
            <w:hideMark/>
          </w:tcPr>
          <w:p w:rsidR="0099431A" w:rsidRPr="0099431A" w:rsidRDefault="0099431A" w:rsidP="0099431A">
            <w:pPr>
              <w:spacing w:after="0" w:line="360" w:lineRule="auto"/>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Autres</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8 (12,9)</w:t>
            </w:r>
          </w:p>
        </w:tc>
        <w:tc>
          <w:tcPr>
            <w:tcW w:w="1813"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12 (19,4)</w:t>
            </w:r>
          </w:p>
        </w:tc>
        <w:tc>
          <w:tcPr>
            <w:tcW w:w="1514" w:type="dxa"/>
            <w:vAlign w:val="center"/>
            <w:hideMark/>
          </w:tcPr>
          <w:p w:rsidR="0099431A" w:rsidRPr="0099431A" w:rsidRDefault="0099431A" w:rsidP="0099431A">
            <w:pPr>
              <w:spacing w:after="0" w:line="360" w:lineRule="auto"/>
              <w:jc w:val="center"/>
              <w:rPr>
                <w:rFonts w:ascii="Times New Roman" w:eastAsia="Times New Roman" w:hAnsi="Times New Roman" w:cs="Times New Roman"/>
                <w:kern w:val="0"/>
                <w:lang w:eastAsia="fr-FR"/>
              </w:rPr>
            </w:pPr>
            <w:r w:rsidRPr="0099431A">
              <w:rPr>
                <w:rFonts w:ascii="Times New Roman" w:eastAsia="Times New Roman" w:hAnsi="Times New Roman" w:cs="Times New Roman"/>
                <w:kern w:val="0"/>
                <w:lang w:eastAsia="fr-FR"/>
              </w:rPr>
              <w:t>20 (16)</w:t>
            </w:r>
          </w:p>
        </w:tc>
      </w:tr>
    </w:tbl>
    <w:p w:rsidR="0099431A" w:rsidRDefault="0099431A" w:rsidP="00B9732E">
      <w:pPr>
        <w:spacing w:line="360" w:lineRule="auto"/>
        <w:jc w:val="both"/>
        <w:rPr>
          <w:rFonts w:ascii="Times New Roman" w:hAnsi="Times New Roman" w:cs="Times New Roman"/>
        </w:rPr>
      </w:pPr>
    </w:p>
    <w:p w:rsidR="00F215F7" w:rsidRDefault="00F215F7" w:rsidP="00B9732E">
      <w:pPr>
        <w:spacing w:line="360" w:lineRule="auto"/>
        <w:jc w:val="both"/>
        <w:rPr>
          <w:rFonts w:ascii="Times New Roman" w:hAnsi="Times New Roman" w:cs="Times New Roman"/>
        </w:rPr>
      </w:pPr>
    </w:p>
    <w:p w:rsidR="00A86A40" w:rsidRPr="00A86A40" w:rsidRDefault="00A86A40" w:rsidP="00B9732E">
      <w:pPr>
        <w:spacing w:line="360" w:lineRule="auto"/>
        <w:jc w:val="both"/>
        <w:rPr>
          <w:rFonts w:ascii="Times New Roman" w:hAnsi="Times New Roman" w:cs="Times New Roman"/>
          <w:b/>
          <w:bCs/>
        </w:rPr>
      </w:pPr>
      <w:r w:rsidRPr="00A86A40">
        <w:rPr>
          <w:rFonts w:ascii="Times New Roman" w:hAnsi="Times New Roman" w:cs="Times New Roman"/>
          <w:b/>
          <w:bCs/>
        </w:rPr>
        <w:t>Tableau 4 : Association entre antécédents hypertensifs et AVC hémorragique spontané</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1909"/>
        <w:gridCol w:w="3336"/>
        <w:gridCol w:w="2410"/>
        <w:gridCol w:w="1276"/>
      </w:tblGrid>
      <w:tr w:rsidR="00A86A40" w:rsidRPr="00A86A40" w:rsidTr="00A86A40">
        <w:trPr>
          <w:tblHeader/>
          <w:tblCellSpacing w:w="15" w:type="dxa"/>
        </w:trPr>
        <w:tc>
          <w:tcPr>
            <w:tcW w:w="0" w:type="auto"/>
            <w:tcBorders>
              <w:top w:val="single" w:sz="4" w:space="0" w:color="auto"/>
              <w:bottom w:val="single" w:sz="4" w:space="0" w:color="auto"/>
            </w:tcBorders>
            <w:vAlign w:val="center"/>
            <w:hideMark/>
          </w:tcPr>
          <w:p w:rsidR="00A86A40" w:rsidRPr="00A86A40" w:rsidRDefault="00A86A40" w:rsidP="00A86A40">
            <w:pPr>
              <w:spacing w:after="0" w:line="360" w:lineRule="auto"/>
              <w:jc w:val="center"/>
              <w:rPr>
                <w:rFonts w:ascii="Times New Roman" w:eastAsia="Times New Roman" w:hAnsi="Times New Roman" w:cs="Times New Roman"/>
                <w:b/>
                <w:bCs/>
                <w:kern w:val="0"/>
                <w:lang w:eastAsia="fr-FR"/>
              </w:rPr>
            </w:pPr>
            <w:r w:rsidRPr="00A86A40">
              <w:rPr>
                <w:rFonts w:ascii="Times New Roman" w:eastAsia="Times New Roman" w:hAnsi="Times New Roman" w:cs="Times New Roman"/>
                <w:b/>
                <w:bCs/>
                <w:kern w:val="0"/>
                <w:lang w:eastAsia="fr-FR"/>
              </w:rPr>
              <w:t>Antécédents HTA</w:t>
            </w:r>
          </w:p>
        </w:tc>
        <w:tc>
          <w:tcPr>
            <w:tcW w:w="3306" w:type="dxa"/>
            <w:tcBorders>
              <w:top w:val="single" w:sz="4" w:space="0" w:color="auto"/>
              <w:bottom w:val="single" w:sz="4" w:space="0" w:color="auto"/>
            </w:tcBorders>
            <w:vAlign w:val="center"/>
            <w:hideMark/>
          </w:tcPr>
          <w:p w:rsidR="00A86A40" w:rsidRPr="00A86A40" w:rsidRDefault="00A86A40" w:rsidP="00A86A40">
            <w:pPr>
              <w:spacing w:after="0" w:line="360" w:lineRule="auto"/>
              <w:jc w:val="center"/>
              <w:rPr>
                <w:rFonts w:ascii="Times New Roman" w:eastAsia="Times New Roman" w:hAnsi="Times New Roman" w:cs="Times New Roman"/>
                <w:b/>
                <w:bCs/>
                <w:kern w:val="0"/>
                <w:lang w:eastAsia="fr-FR"/>
              </w:rPr>
            </w:pPr>
            <w:r w:rsidRPr="00A86A40">
              <w:rPr>
                <w:rFonts w:ascii="Times New Roman" w:eastAsia="Times New Roman" w:hAnsi="Times New Roman" w:cs="Times New Roman"/>
                <w:b/>
                <w:bCs/>
                <w:kern w:val="0"/>
                <w:lang w:eastAsia="fr-FR"/>
              </w:rPr>
              <w:t>AVC hémorragique (N, %)</w:t>
            </w:r>
          </w:p>
        </w:tc>
        <w:tc>
          <w:tcPr>
            <w:tcW w:w="2380" w:type="dxa"/>
            <w:tcBorders>
              <w:top w:val="single" w:sz="4" w:space="0" w:color="auto"/>
              <w:bottom w:val="single" w:sz="4" w:space="0" w:color="auto"/>
            </w:tcBorders>
            <w:vAlign w:val="center"/>
            <w:hideMark/>
          </w:tcPr>
          <w:p w:rsidR="00A86A40" w:rsidRPr="00A86A40" w:rsidRDefault="00A86A40" w:rsidP="00A86A40">
            <w:pPr>
              <w:spacing w:after="0" w:line="360" w:lineRule="auto"/>
              <w:jc w:val="center"/>
              <w:rPr>
                <w:rFonts w:ascii="Times New Roman" w:eastAsia="Times New Roman" w:hAnsi="Times New Roman" w:cs="Times New Roman"/>
                <w:b/>
                <w:bCs/>
                <w:kern w:val="0"/>
                <w:lang w:eastAsia="fr-FR"/>
              </w:rPr>
            </w:pPr>
            <w:r w:rsidRPr="00A86A40">
              <w:rPr>
                <w:rFonts w:ascii="Times New Roman" w:eastAsia="Times New Roman" w:hAnsi="Times New Roman" w:cs="Times New Roman"/>
                <w:b/>
                <w:bCs/>
                <w:kern w:val="0"/>
                <w:lang w:eastAsia="fr-FR"/>
              </w:rPr>
              <w:t>Autres HINT (N, %)</w:t>
            </w:r>
          </w:p>
        </w:tc>
        <w:tc>
          <w:tcPr>
            <w:tcW w:w="1231" w:type="dxa"/>
            <w:tcBorders>
              <w:top w:val="single" w:sz="4" w:space="0" w:color="auto"/>
              <w:bottom w:val="single" w:sz="4" w:space="0" w:color="auto"/>
            </w:tcBorders>
            <w:vAlign w:val="center"/>
            <w:hideMark/>
          </w:tcPr>
          <w:p w:rsidR="00A86A40" w:rsidRPr="00A86A40" w:rsidRDefault="00A86A40" w:rsidP="00A86A40">
            <w:pPr>
              <w:spacing w:after="0" w:line="360" w:lineRule="auto"/>
              <w:jc w:val="center"/>
              <w:rPr>
                <w:rFonts w:ascii="Times New Roman" w:eastAsia="Times New Roman" w:hAnsi="Times New Roman" w:cs="Times New Roman"/>
                <w:b/>
                <w:bCs/>
                <w:kern w:val="0"/>
                <w:lang w:eastAsia="fr-FR"/>
              </w:rPr>
            </w:pPr>
            <w:r w:rsidRPr="00A86A40">
              <w:rPr>
                <w:rFonts w:ascii="Times New Roman" w:eastAsia="Times New Roman" w:hAnsi="Times New Roman" w:cs="Times New Roman"/>
                <w:b/>
                <w:bCs/>
                <w:kern w:val="0"/>
                <w:lang w:eastAsia="fr-FR"/>
              </w:rPr>
              <w:t>Total</w:t>
            </w:r>
          </w:p>
        </w:tc>
      </w:tr>
      <w:tr w:rsidR="00A86A40" w:rsidRPr="00A86A40" w:rsidTr="00A86A40">
        <w:trPr>
          <w:tblCellSpacing w:w="15" w:type="dxa"/>
        </w:trPr>
        <w:tc>
          <w:tcPr>
            <w:tcW w:w="0" w:type="auto"/>
            <w:vAlign w:val="center"/>
            <w:hideMark/>
          </w:tcPr>
          <w:p w:rsidR="00A86A40" w:rsidRPr="00A86A40" w:rsidRDefault="00A86A40" w:rsidP="00A86A40">
            <w:pPr>
              <w:spacing w:after="0" w:line="360" w:lineRule="auto"/>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lastRenderedPageBreak/>
              <w:t>Oui</w:t>
            </w:r>
          </w:p>
        </w:tc>
        <w:tc>
          <w:tcPr>
            <w:tcW w:w="3306"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65 (81,3)</w:t>
            </w:r>
          </w:p>
        </w:tc>
        <w:tc>
          <w:tcPr>
            <w:tcW w:w="2380"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24 (32,4)</w:t>
            </w:r>
          </w:p>
        </w:tc>
        <w:tc>
          <w:tcPr>
            <w:tcW w:w="1231"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89</w:t>
            </w:r>
          </w:p>
        </w:tc>
      </w:tr>
      <w:tr w:rsidR="00A86A40" w:rsidRPr="00A86A40" w:rsidTr="00A86A40">
        <w:trPr>
          <w:tblCellSpacing w:w="15" w:type="dxa"/>
        </w:trPr>
        <w:tc>
          <w:tcPr>
            <w:tcW w:w="0" w:type="auto"/>
            <w:vAlign w:val="center"/>
            <w:hideMark/>
          </w:tcPr>
          <w:p w:rsidR="00A86A40" w:rsidRPr="00A86A40" w:rsidRDefault="00A86A40" w:rsidP="00A86A40">
            <w:pPr>
              <w:spacing w:after="0" w:line="360" w:lineRule="auto"/>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Non</w:t>
            </w:r>
          </w:p>
        </w:tc>
        <w:tc>
          <w:tcPr>
            <w:tcW w:w="3306"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15 (18,7)</w:t>
            </w:r>
          </w:p>
        </w:tc>
        <w:tc>
          <w:tcPr>
            <w:tcW w:w="2380"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21 (28,4)</w:t>
            </w:r>
          </w:p>
        </w:tc>
        <w:tc>
          <w:tcPr>
            <w:tcW w:w="1231"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36</w:t>
            </w:r>
          </w:p>
        </w:tc>
      </w:tr>
      <w:tr w:rsidR="00A86A40" w:rsidRPr="00A86A40" w:rsidTr="00A86A40">
        <w:trPr>
          <w:tblCellSpacing w:w="15" w:type="dxa"/>
        </w:trPr>
        <w:tc>
          <w:tcPr>
            <w:tcW w:w="0" w:type="auto"/>
            <w:vAlign w:val="center"/>
            <w:hideMark/>
          </w:tcPr>
          <w:p w:rsidR="00A86A40" w:rsidRPr="00A86A40" w:rsidRDefault="00A86A40" w:rsidP="00A86A40">
            <w:pPr>
              <w:spacing w:after="0" w:line="360" w:lineRule="auto"/>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Total</w:t>
            </w:r>
          </w:p>
        </w:tc>
        <w:tc>
          <w:tcPr>
            <w:tcW w:w="3306"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80</w:t>
            </w:r>
          </w:p>
        </w:tc>
        <w:tc>
          <w:tcPr>
            <w:tcW w:w="2380"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45</w:t>
            </w:r>
          </w:p>
        </w:tc>
        <w:tc>
          <w:tcPr>
            <w:tcW w:w="1231"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125</w:t>
            </w:r>
          </w:p>
        </w:tc>
      </w:tr>
    </w:tbl>
    <w:p w:rsidR="00A86A40" w:rsidRDefault="00A86A40" w:rsidP="00B9732E">
      <w:pPr>
        <w:spacing w:line="360" w:lineRule="auto"/>
        <w:jc w:val="both"/>
        <w:rPr>
          <w:rFonts w:ascii="Times New Roman" w:hAnsi="Times New Roman" w:cs="Times New Roman"/>
        </w:rPr>
      </w:pPr>
    </w:p>
    <w:p w:rsidR="00F215F7" w:rsidRDefault="00F215F7" w:rsidP="00B9732E">
      <w:pPr>
        <w:spacing w:line="360" w:lineRule="auto"/>
        <w:jc w:val="both"/>
        <w:rPr>
          <w:rFonts w:ascii="Times New Roman" w:hAnsi="Times New Roman" w:cs="Times New Roman"/>
        </w:rPr>
      </w:pPr>
    </w:p>
    <w:p w:rsidR="00A86A40" w:rsidRPr="00A86A40" w:rsidRDefault="00A86A40" w:rsidP="00B9732E">
      <w:pPr>
        <w:spacing w:line="360" w:lineRule="auto"/>
        <w:jc w:val="both"/>
        <w:rPr>
          <w:rFonts w:ascii="Times New Roman" w:hAnsi="Times New Roman" w:cs="Times New Roman"/>
          <w:b/>
          <w:bCs/>
        </w:rPr>
      </w:pPr>
      <w:r w:rsidRPr="00A86A40">
        <w:rPr>
          <w:rFonts w:ascii="Times New Roman" w:hAnsi="Times New Roman" w:cs="Times New Roman"/>
          <w:b/>
          <w:bCs/>
        </w:rPr>
        <w:t>Tableau 5 : Facteurs associés à l’évolution défavorable (complications ou décès)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4111"/>
        <w:gridCol w:w="1843"/>
        <w:gridCol w:w="1701"/>
        <w:gridCol w:w="1417"/>
      </w:tblGrid>
      <w:tr w:rsidR="00A86A40" w:rsidRPr="00A86A40" w:rsidTr="00A86A40">
        <w:trPr>
          <w:tblHeader/>
          <w:tblCellSpacing w:w="15" w:type="dxa"/>
        </w:trPr>
        <w:tc>
          <w:tcPr>
            <w:tcW w:w="4066" w:type="dxa"/>
            <w:tcBorders>
              <w:top w:val="single" w:sz="4" w:space="0" w:color="auto"/>
              <w:bottom w:val="single" w:sz="4" w:space="0" w:color="auto"/>
            </w:tcBorders>
            <w:vAlign w:val="center"/>
            <w:hideMark/>
          </w:tcPr>
          <w:p w:rsidR="00A86A40" w:rsidRPr="00A86A40" w:rsidRDefault="00A86A40" w:rsidP="00A86A40">
            <w:pPr>
              <w:spacing w:after="0" w:line="360" w:lineRule="auto"/>
              <w:rPr>
                <w:rFonts w:ascii="Times New Roman" w:eastAsia="Times New Roman" w:hAnsi="Times New Roman" w:cs="Times New Roman"/>
                <w:b/>
                <w:bCs/>
                <w:kern w:val="0"/>
                <w:lang w:eastAsia="fr-FR"/>
              </w:rPr>
            </w:pPr>
            <w:r w:rsidRPr="00A86A40">
              <w:rPr>
                <w:rFonts w:ascii="Times New Roman" w:eastAsia="Times New Roman" w:hAnsi="Times New Roman" w:cs="Times New Roman"/>
                <w:b/>
                <w:bCs/>
                <w:kern w:val="0"/>
                <w:lang w:eastAsia="fr-FR"/>
              </w:rPr>
              <w:t>Facteur</w:t>
            </w:r>
            <w:r>
              <w:rPr>
                <w:rFonts w:ascii="Times New Roman" w:eastAsia="Times New Roman" w:hAnsi="Times New Roman" w:cs="Times New Roman"/>
                <w:b/>
                <w:bCs/>
                <w:kern w:val="0"/>
                <w:lang w:eastAsia="fr-FR"/>
              </w:rPr>
              <w:t>s</w:t>
            </w:r>
          </w:p>
        </w:tc>
        <w:tc>
          <w:tcPr>
            <w:tcW w:w="1813" w:type="dxa"/>
            <w:tcBorders>
              <w:top w:val="single" w:sz="4" w:space="0" w:color="auto"/>
              <w:bottom w:val="single" w:sz="4" w:space="0" w:color="auto"/>
            </w:tcBorders>
            <w:vAlign w:val="center"/>
            <w:hideMark/>
          </w:tcPr>
          <w:p w:rsidR="00A86A40" w:rsidRPr="00A86A40" w:rsidRDefault="00A86A40" w:rsidP="00A86A40">
            <w:pPr>
              <w:spacing w:after="0" w:line="360" w:lineRule="auto"/>
              <w:jc w:val="center"/>
              <w:rPr>
                <w:rFonts w:ascii="Times New Roman" w:eastAsia="Times New Roman" w:hAnsi="Times New Roman" w:cs="Times New Roman"/>
                <w:b/>
                <w:bCs/>
                <w:kern w:val="0"/>
                <w:lang w:eastAsia="fr-FR"/>
              </w:rPr>
            </w:pPr>
            <w:r w:rsidRPr="00A86A40">
              <w:rPr>
                <w:rFonts w:ascii="Times New Roman" w:eastAsia="Times New Roman" w:hAnsi="Times New Roman" w:cs="Times New Roman"/>
                <w:b/>
                <w:bCs/>
                <w:kern w:val="0"/>
                <w:lang w:eastAsia="fr-FR"/>
              </w:rPr>
              <w:t>OR ajusté</w:t>
            </w:r>
          </w:p>
        </w:tc>
        <w:tc>
          <w:tcPr>
            <w:tcW w:w="1671" w:type="dxa"/>
            <w:tcBorders>
              <w:top w:val="single" w:sz="4" w:space="0" w:color="auto"/>
              <w:bottom w:val="single" w:sz="4" w:space="0" w:color="auto"/>
            </w:tcBorders>
            <w:vAlign w:val="center"/>
            <w:hideMark/>
          </w:tcPr>
          <w:p w:rsidR="00A86A40" w:rsidRPr="00A86A40" w:rsidRDefault="00A86A40" w:rsidP="00A86A40">
            <w:pPr>
              <w:spacing w:after="0" w:line="360" w:lineRule="auto"/>
              <w:jc w:val="center"/>
              <w:rPr>
                <w:rFonts w:ascii="Times New Roman" w:eastAsia="Times New Roman" w:hAnsi="Times New Roman" w:cs="Times New Roman"/>
                <w:b/>
                <w:bCs/>
                <w:kern w:val="0"/>
                <w:lang w:eastAsia="fr-FR"/>
              </w:rPr>
            </w:pPr>
            <w:r w:rsidRPr="00A86A40">
              <w:rPr>
                <w:rFonts w:ascii="Times New Roman" w:eastAsia="Times New Roman" w:hAnsi="Times New Roman" w:cs="Times New Roman"/>
                <w:b/>
                <w:bCs/>
                <w:kern w:val="0"/>
                <w:lang w:eastAsia="fr-FR"/>
              </w:rPr>
              <w:t>IC 95 %</w:t>
            </w:r>
          </w:p>
        </w:tc>
        <w:tc>
          <w:tcPr>
            <w:tcW w:w="1372" w:type="dxa"/>
            <w:tcBorders>
              <w:top w:val="single" w:sz="4" w:space="0" w:color="auto"/>
              <w:bottom w:val="single" w:sz="4" w:space="0" w:color="auto"/>
            </w:tcBorders>
            <w:vAlign w:val="center"/>
            <w:hideMark/>
          </w:tcPr>
          <w:p w:rsidR="00A86A40" w:rsidRPr="00A86A40" w:rsidRDefault="007A5CEF" w:rsidP="00A86A40">
            <w:pPr>
              <w:spacing w:after="0" w:line="360" w:lineRule="auto"/>
              <w:jc w:val="center"/>
              <w:rPr>
                <w:rFonts w:ascii="Times New Roman" w:eastAsia="Times New Roman" w:hAnsi="Times New Roman" w:cs="Times New Roman"/>
                <w:b/>
                <w:bCs/>
                <w:kern w:val="0"/>
                <w:lang w:eastAsia="fr-FR"/>
              </w:rPr>
            </w:pPr>
            <w:r w:rsidRPr="00A86A40">
              <w:rPr>
                <w:rFonts w:ascii="Times New Roman" w:eastAsia="Times New Roman" w:hAnsi="Times New Roman" w:cs="Times New Roman"/>
                <w:b/>
                <w:bCs/>
                <w:kern w:val="0"/>
                <w:lang w:eastAsia="fr-FR"/>
              </w:rPr>
              <w:t>P</w:t>
            </w:r>
            <w:r>
              <w:rPr>
                <w:rFonts w:ascii="Times New Roman" w:eastAsia="Times New Roman" w:hAnsi="Times New Roman" w:cs="Times New Roman"/>
                <w:b/>
                <w:bCs/>
                <w:kern w:val="0"/>
                <w:lang w:eastAsia="fr-FR"/>
              </w:rPr>
              <w:t xml:space="preserve"> value</w:t>
            </w:r>
          </w:p>
        </w:tc>
      </w:tr>
      <w:tr w:rsidR="00A86A40" w:rsidRPr="00A86A40" w:rsidTr="00A86A40">
        <w:trPr>
          <w:tblCellSpacing w:w="15" w:type="dxa"/>
        </w:trPr>
        <w:tc>
          <w:tcPr>
            <w:tcW w:w="4066" w:type="dxa"/>
            <w:vAlign w:val="center"/>
            <w:hideMark/>
          </w:tcPr>
          <w:p w:rsidR="00A86A40" w:rsidRPr="00A86A40" w:rsidRDefault="00A86A40" w:rsidP="00A86A40">
            <w:pPr>
              <w:spacing w:after="0" w:line="360" w:lineRule="auto"/>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Âge ≥50 ans</w:t>
            </w:r>
          </w:p>
        </w:tc>
        <w:tc>
          <w:tcPr>
            <w:tcW w:w="1813"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2,1</w:t>
            </w:r>
          </w:p>
        </w:tc>
        <w:tc>
          <w:tcPr>
            <w:tcW w:w="1671"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1,1–4,0</w:t>
            </w:r>
          </w:p>
        </w:tc>
        <w:tc>
          <w:tcPr>
            <w:tcW w:w="1372"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0,02</w:t>
            </w:r>
          </w:p>
        </w:tc>
      </w:tr>
      <w:tr w:rsidR="00A86A40" w:rsidRPr="00A86A40" w:rsidTr="00A86A40">
        <w:trPr>
          <w:tblCellSpacing w:w="15" w:type="dxa"/>
        </w:trPr>
        <w:tc>
          <w:tcPr>
            <w:tcW w:w="4066" w:type="dxa"/>
            <w:vAlign w:val="center"/>
            <w:hideMark/>
          </w:tcPr>
          <w:p w:rsidR="00A86A40" w:rsidRPr="00A86A40" w:rsidRDefault="00A86A40" w:rsidP="00A86A40">
            <w:pPr>
              <w:spacing w:after="0" w:line="360" w:lineRule="auto"/>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Hypertension</w:t>
            </w:r>
          </w:p>
        </w:tc>
        <w:tc>
          <w:tcPr>
            <w:tcW w:w="1813"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3,0</w:t>
            </w:r>
          </w:p>
        </w:tc>
        <w:tc>
          <w:tcPr>
            <w:tcW w:w="1671"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1,5–6,0</w:t>
            </w:r>
          </w:p>
        </w:tc>
        <w:tc>
          <w:tcPr>
            <w:tcW w:w="1372"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0,001</w:t>
            </w:r>
          </w:p>
        </w:tc>
      </w:tr>
      <w:tr w:rsidR="00A86A40" w:rsidRPr="00A86A40" w:rsidTr="00A86A40">
        <w:trPr>
          <w:tblCellSpacing w:w="15" w:type="dxa"/>
        </w:trPr>
        <w:tc>
          <w:tcPr>
            <w:tcW w:w="4066" w:type="dxa"/>
            <w:vAlign w:val="center"/>
            <w:hideMark/>
          </w:tcPr>
          <w:p w:rsidR="00A86A40" w:rsidRPr="00A86A40" w:rsidRDefault="00A86A40" w:rsidP="00A86A40">
            <w:pPr>
              <w:spacing w:after="0" w:line="360" w:lineRule="auto"/>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Déficit neurologique à l’admission</w:t>
            </w:r>
          </w:p>
        </w:tc>
        <w:tc>
          <w:tcPr>
            <w:tcW w:w="1813"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2,8</w:t>
            </w:r>
          </w:p>
        </w:tc>
        <w:tc>
          <w:tcPr>
            <w:tcW w:w="1671"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1,4–5,5</w:t>
            </w:r>
          </w:p>
        </w:tc>
        <w:tc>
          <w:tcPr>
            <w:tcW w:w="1372"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0,003</w:t>
            </w:r>
          </w:p>
        </w:tc>
      </w:tr>
      <w:tr w:rsidR="00A86A40" w:rsidRPr="00A86A40" w:rsidTr="00A86A40">
        <w:trPr>
          <w:tblCellSpacing w:w="15" w:type="dxa"/>
        </w:trPr>
        <w:tc>
          <w:tcPr>
            <w:tcW w:w="4066" w:type="dxa"/>
            <w:vAlign w:val="center"/>
            <w:hideMark/>
          </w:tcPr>
          <w:p w:rsidR="00A86A40" w:rsidRPr="00A86A40" w:rsidRDefault="00A86A40" w:rsidP="00A86A40">
            <w:pPr>
              <w:spacing w:after="0" w:line="360" w:lineRule="auto"/>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AVC hémorragique spontané</w:t>
            </w:r>
          </w:p>
        </w:tc>
        <w:tc>
          <w:tcPr>
            <w:tcW w:w="1813"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1,7</w:t>
            </w:r>
          </w:p>
        </w:tc>
        <w:tc>
          <w:tcPr>
            <w:tcW w:w="1671"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0,9–3,2</w:t>
            </w:r>
          </w:p>
        </w:tc>
        <w:tc>
          <w:tcPr>
            <w:tcW w:w="1372"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0,08</w:t>
            </w:r>
          </w:p>
        </w:tc>
      </w:tr>
      <w:tr w:rsidR="00A86A40" w:rsidRPr="00A86A40" w:rsidTr="00A86A40">
        <w:trPr>
          <w:tblCellSpacing w:w="15" w:type="dxa"/>
        </w:trPr>
        <w:tc>
          <w:tcPr>
            <w:tcW w:w="4066" w:type="dxa"/>
            <w:vAlign w:val="center"/>
            <w:hideMark/>
          </w:tcPr>
          <w:p w:rsidR="00A86A40" w:rsidRPr="00A86A40" w:rsidRDefault="00A86A40" w:rsidP="00A86A40">
            <w:pPr>
              <w:spacing w:after="0" w:line="360" w:lineRule="auto"/>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Traitement chirurgical</w:t>
            </w:r>
          </w:p>
        </w:tc>
        <w:tc>
          <w:tcPr>
            <w:tcW w:w="1813"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0,5</w:t>
            </w:r>
          </w:p>
        </w:tc>
        <w:tc>
          <w:tcPr>
            <w:tcW w:w="1671"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0,2–0,9</w:t>
            </w:r>
          </w:p>
        </w:tc>
        <w:tc>
          <w:tcPr>
            <w:tcW w:w="1372" w:type="dxa"/>
            <w:vAlign w:val="center"/>
            <w:hideMark/>
          </w:tcPr>
          <w:p w:rsidR="00A86A40" w:rsidRPr="00A86A40" w:rsidRDefault="00A86A40" w:rsidP="00A86A40">
            <w:pPr>
              <w:spacing w:after="0" w:line="360" w:lineRule="auto"/>
              <w:jc w:val="center"/>
              <w:rPr>
                <w:rFonts w:ascii="Times New Roman" w:eastAsia="Times New Roman" w:hAnsi="Times New Roman" w:cs="Times New Roman"/>
                <w:kern w:val="0"/>
                <w:lang w:eastAsia="fr-FR"/>
              </w:rPr>
            </w:pPr>
            <w:r w:rsidRPr="00A86A40">
              <w:rPr>
                <w:rFonts w:ascii="Times New Roman" w:eastAsia="Times New Roman" w:hAnsi="Times New Roman" w:cs="Times New Roman"/>
                <w:kern w:val="0"/>
                <w:lang w:eastAsia="fr-FR"/>
              </w:rPr>
              <w:t>0,03</w:t>
            </w:r>
          </w:p>
        </w:tc>
      </w:tr>
    </w:tbl>
    <w:p w:rsidR="00A86A40" w:rsidRPr="00B9732E" w:rsidRDefault="00A86A40" w:rsidP="00B9732E">
      <w:pPr>
        <w:spacing w:line="360" w:lineRule="auto"/>
        <w:jc w:val="both"/>
        <w:rPr>
          <w:rFonts w:ascii="Times New Roman" w:hAnsi="Times New Roman" w:cs="Times New Roman"/>
        </w:rPr>
      </w:pPr>
    </w:p>
    <w:sectPr w:rsidR="00A86A40" w:rsidRPr="00B9732E" w:rsidSect="00FA0BF1">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60C" w:rsidRDefault="0007560C" w:rsidP="00FA0BF1">
      <w:pPr>
        <w:spacing w:after="0" w:line="240" w:lineRule="auto"/>
      </w:pPr>
      <w:r>
        <w:separator/>
      </w:r>
    </w:p>
  </w:endnote>
  <w:endnote w:type="continuationSeparator" w:id="1">
    <w:p w:rsidR="0007560C" w:rsidRDefault="0007560C" w:rsidP="00FA0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11" w:rsidRDefault="00DA7E1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11" w:rsidRDefault="00DA7E1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11" w:rsidRDefault="00DA7E1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60C" w:rsidRDefault="0007560C" w:rsidP="00FA0BF1">
      <w:pPr>
        <w:spacing w:after="0" w:line="240" w:lineRule="auto"/>
      </w:pPr>
      <w:r>
        <w:separator/>
      </w:r>
    </w:p>
  </w:footnote>
  <w:footnote w:type="continuationSeparator" w:id="1">
    <w:p w:rsidR="0007560C" w:rsidRDefault="0007560C" w:rsidP="00FA0B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11" w:rsidRDefault="00DA7E1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F1" w:rsidRPr="00FA0BF1" w:rsidRDefault="00FA0BF1">
    <w:pPr>
      <w:pStyle w:val="En-tte"/>
      <w:rPr>
        <w:lang w:val="en-US"/>
      </w:rPr>
    </w:pPr>
    <w:r w:rsidRPr="00A32BF7">
      <w:rPr>
        <w:i/>
      </w:rPr>
      <w:ptab w:relativeTo="margin" w:alignment="center" w:leader="none"/>
    </w:r>
    <w:r w:rsidRPr="005E627D">
      <w:rPr>
        <w:i/>
        <w:lang w:val="en-US"/>
      </w:rPr>
      <w:t>Head and Neck Journal of Madagascar</w:t>
    </w:r>
    <w:r w:rsidRPr="005E627D">
      <w:rPr>
        <w:lang w:val="en-US"/>
      </w:rPr>
      <w:t>.</w:t>
    </w:r>
    <w:r w:rsidR="00DA7E11">
      <w:rPr>
        <w:lang w:val="en-US"/>
      </w:rPr>
      <w:t xml:space="preserve"> 2025;7:694-704.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E11" w:rsidRDefault="00DA7E1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C37"/>
    <w:multiLevelType w:val="multilevel"/>
    <w:tmpl w:val="2998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93306"/>
    <w:multiLevelType w:val="hybridMultilevel"/>
    <w:tmpl w:val="6F6AD9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EC14A8"/>
    <w:multiLevelType w:val="multilevel"/>
    <w:tmpl w:val="63AAF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3F0DE5"/>
    <w:multiLevelType w:val="multilevel"/>
    <w:tmpl w:val="70E6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A76918"/>
    <w:multiLevelType w:val="multilevel"/>
    <w:tmpl w:val="25D4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D43E31"/>
    <w:multiLevelType w:val="multilevel"/>
    <w:tmpl w:val="22244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DF4CBD"/>
    <w:multiLevelType w:val="multilevel"/>
    <w:tmpl w:val="79A4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F126DD"/>
    <w:multiLevelType w:val="multilevel"/>
    <w:tmpl w:val="4BD4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24268A"/>
    <w:multiLevelType w:val="multilevel"/>
    <w:tmpl w:val="6EE0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D7609D"/>
    <w:multiLevelType w:val="multilevel"/>
    <w:tmpl w:val="51DA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902A0"/>
    <w:multiLevelType w:val="hybridMultilevel"/>
    <w:tmpl w:val="51C2D85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0DE356D"/>
    <w:multiLevelType w:val="multilevel"/>
    <w:tmpl w:val="C068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857A38"/>
    <w:multiLevelType w:val="multilevel"/>
    <w:tmpl w:val="218C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FE185D"/>
    <w:multiLevelType w:val="multilevel"/>
    <w:tmpl w:val="DD00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12"/>
  </w:num>
  <w:num w:numId="5">
    <w:abstractNumId w:val="9"/>
  </w:num>
  <w:num w:numId="6">
    <w:abstractNumId w:val="13"/>
  </w:num>
  <w:num w:numId="7">
    <w:abstractNumId w:val="6"/>
  </w:num>
  <w:num w:numId="8">
    <w:abstractNumId w:val="11"/>
  </w:num>
  <w:num w:numId="9">
    <w:abstractNumId w:val="3"/>
  </w:num>
  <w:num w:numId="10">
    <w:abstractNumId w:val="4"/>
  </w:num>
  <w:num w:numId="11">
    <w:abstractNumId w:val="5"/>
  </w:num>
  <w:num w:numId="12">
    <w:abstractNumId w:val="2"/>
  </w:num>
  <w:num w:numId="13">
    <w:abstractNumId w:val="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characterSpacingControl w:val="doNotCompress"/>
  <w:footnotePr>
    <w:footnote w:id="0"/>
    <w:footnote w:id="1"/>
  </w:footnotePr>
  <w:endnotePr>
    <w:endnote w:id="0"/>
    <w:endnote w:id="1"/>
  </w:endnotePr>
  <w:compat/>
  <w:rsids>
    <w:rsidRoot w:val="00B9732E"/>
    <w:rsid w:val="00050099"/>
    <w:rsid w:val="0007560C"/>
    <w:rsid w:val="000C2142"/>
    <w:rsid w:val="000D25A2"/>
    <w:rsid w:val="00230A10"/>
    <w:rsid w:val="002E27D8"/>
    <w:rsid w:val="00462A46"/>
    <w:rsid w:val="005C6F25"/>
    <w:rsid w:val="00781BFE"/>
    <w:rsid w:val="007A5CEF"/>
    <w:rsid w:val="008B5DDE"/>
    <w:rsid w:val="00983977"/>
    <w:rsid w:val="00990772"/>
    <w:rsid w:val="0099431A"/>
    <w:rsid w:val="00A46924"/>
    <w:rsid w:val="00A86A40"/>
    <w:rsid w:val="00B9732E"/>
    <w:rsid w:val="00BA3F68"/>
    <w:rsid w:val="00DA7E11"/>
    <w:rsid w:val="00EA5A7A"/>
    <w:rsid w:val="00EA7C0B"/>
    <w:rsid w:val="00F215F7"/>
    <w:rsid w:val="00F57815"/>
    <w:rsid w:val="00FA0BF1"/>
    <w:rsid w:val="00FE3EC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27"/>
        <o:r id="V:Rule8" type="connector" idref="#_x0000_s1029"/>
        <o:r id="V:Rule9" type="connector" idref="#_x0000_s1033"/>
        <o:r id="V:Rule10" type="connector" idref="#_x0000_s1032"/>
        <o:r id="V:Rule11" type="connector" idref="#_x0000_s1030"/>
        <o:r id="V:Rule1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C0"/>
  </w:style>
  <w:style w:type="paragraph" w:styleId="Titre1">
    <w:name w:val="heading 1"/>
    <w:basedOn w:val="Normal"/>
    <w:next w:val="Normal"/>
    <w:link w:val="Titre1Car"/>
    <w:uiPriority w:val="9"/>
    <w:qFormat/>
    <w:rsid w:val="00B973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973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973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73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73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73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73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73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73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73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973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B973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73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73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73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73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73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732E"/>
    <w:rPr>
      <w:rFonts w:eastAsiaTheme="majorEastAsia" w:cstheme="majorBidi"/>
      <w:color w:val="272727" w:themeColor="text1" w:themeTint="D8"/>
    </w:rPr>
  </w:style>
  <w:style w:type="paragraph" w:styleId="Titre">
    <w:name w:val="Title"/>
    <w:basedOn w:val="Normal"/>
    <w:next w:val="Normal"/>
    <w:link w:val="TitreCar"/>
    <w:uiPriority w:val="10"/>
    <w:qFormat/>
    <w:rsid w:val="00B97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73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73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73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732E"/>
    <w:pPr>
      <w:spacing w:before="160"/>
      <w:jc w:val="center"/>
    </w:pPr>
    <w:rPr>
      <w:i/>
      <w:iCs/>
      <w:color w:val="404040" w:themeColor="text1" w:themeTint="BF"/>
    </w:rPr>
  </w:style>
  <w:style w:type="character" w:customStyle="1" w:styleId="CitationCar">
    <w:name w:val="Citation Car"/>
    <w:basedOn w:val="Policepardfaut"/>
    <w:link w:val="Citation"/>
    <w:uiPriority w:val="29"/>
    <w:rsid w:val="00B9732E"/>
    <w:rPr>
      <w:i/>
      <w:iCs/>
      <w:color w:val="404040" w:themeColor="text1" w:themeTint="BF"/>
    </w:rPr>
  </w:style>
  <w:style w:type="paragraph" w:styleId="Paragraphedeliste">
    <w:name w:val="List Paragraph"/>
    <w:basedOn w:val="Normal"/>
    <w:uiPriority w:val="34"/>
    <w:qFormat/>
    <w:rsid w:val="00B9732E"/>
    <w:pPr>
      <w:ind w:left="720"/>
      <w:contextualSpacing/>
    </w:pPr>
  </w:style>
  <w:style w:type="character" w:styleId="Emphaseintense">
    <w:name w:val="Intense Emphasis"/>
    <w:basedOn w:val="Policepardfaut"/>
    <w:uiPriority w:val="21"/>
    <w:qFormat/>
    <w:rsid w:val="00B9732E"/>
    <w:rPr>
      <w:i/>
      <w:iCs/>
      <w:color w:val="0F4761" w:themeColor="accent1" w:themeShade="BF"/>
    </w:rPr>
  </w:style>
  <w:style w:type="paragraph" w:styleId="Citationintense">
    <w:name w:val="Intense Quote"/>
    <w:basedOn w:val="Normal"/>
    <w:next w:val="Normal"/>
    <w:link w:val="CitationintenseCar"/>
    <w:uiPriority w:val="30"/>
    <w:qFormat/>
    <w:rsid w:val="00B973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732E"/>
    <w:rPr>
      <w:i/>
      <w:iCs/>
      <w:color w:val="0F4761" w:themeColor="accent1" w:themeShade="BF"/>
    </w:rPr>
  </w:style>
  <w:style w:type="character" w:styleId="Rfrenceintense">
    <w:name w:val="Intense Reference"/>
    <w:basedOn w:val="Policepardfaut"/>
    <w:uiPriority w:val="32"/>
    <w:qFormat/>
    <w:rsid w:val="00B9732E"/>
    <w:rPr>
      <w:b/>
      <w:bCs/>
      <w:smallCaps/>
      <w:color w:val="0F4761" w:themeColor="accent1" w:themeShade="BF"/>
      <w:spacing w:val="5"/>
    </w:rPr>
  </w:style>
  <w:style w:type="character" w:styleId="lev">
    <w:name w:val="Strong"/>
    <w:basedOn w:val="Policepardfaut"/>
    <w:uiPriority w:val="22"/>
    <w:qFormat/>
    <w:rsid w:val="00B9732E"/>
    <w:rPr>
      <w:b/>
      <w:bCs/>
    </w:rPr>
  </w:style>
  <w:style w:type="paragraph" w:styleId="NormalWeb">
    <w:name w:val="Normal (Web)"/>
    <w:basedOn w:val="Normal"/>
    <w:uiPriority w:val="99"/>
    <w:semiHidden/>
    <w:unhideWhenUsed/>
    <w:rsid w:val="00B9732E"/>
    <w:pPr>
      <w:spacing w:before="100" w:beforeAutospacing="1" w:after="100" w:afterAutospacing="1" w:line="240" w:lineRule="auto"/>
    </w:pPr>
    <w:rPr>
      <w:rFonts w:ascii="Times New Roman" w:eastAsia="Times New Roman" w:hAnsi="Times New Roman" w:cs="Times New Roman"/>
      <w:kern w:val="0"/>
      <w:lang w:eastAsia="fr-FR"/>
    </w:rPr>
  </w:style>
  <w:style w:type="character" w:styleId="Accentuation">
    <w:name w:val="Emphasis"/>
    <w:basedOn w:val="Policepardfaut"/>
    <w:uiPriority w:val="20"/>
    <w:qFormat/>
    <w:rsid w:val="00B9732E"/>
    <w:rPr>
      <w:i/>
      <w:iCs/>
    </w:rPr>
  </w:style>
  <w:style w:type="paragraph" w:styleId="En-tte">
    <w:name w:val="header"/>
    <w:basedOn w:val="Normal"/>
    <w:link w:val="En-tteCar"/>
    <w:uiPriority w:val="99"/>
    <w:semiHidden/>
    <w:unhideWhenUsed/>
    <w:rsid w:val="00FA0BF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A0BF1"/>
  </w:style>
  <w:style w:type="paragraph" w:styleId="Pieddepage">
    <w:name w:val="footer"/>
    <w:basedOn w:val="Normal"/>
    <w:link w:val="PieddepageCar"/>
    <w:uiPriority w:val="99"/>
    <w:semiHidden/>
    <w:unhideWhenUsed/>
    <w:rsid w:val="00FA0BF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A0BF1"/>
  </w:style>
  <w:style w:type="paragraph" w:styleId="Textedebulles">
    <w:name w:val="Balloon Text"/>
    <w:basedOn w:val="Normal"/>
    <w:link w:val="TextedebullesCar"/>
    <w:uiPriority w:val="99"/>
    <w:semiHidden/>
    <w:unhideWhenUsed/>
    <w:rsid w:val="00FA0B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0B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2874</Words>
  <Characters>15812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herisitraka raotoson</dc:creator>
  <cp:lastModifiedBy>PC-Dr</cp:lastModifiedBy>
  <cp:revision>3</cp:revision>
  <dcterms:created xsi:type="dcterms:W3CDTF">2026-01-29T07:26:00Z</dcterms:created>
  <dcterms:modified xsi:type="dcterms:W3CDTF">2026-01-29T16:52:00Z</dcterms:modified>
</cp:coreProperties>
</file>